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7F" w:rsidRDefault="00C33633" w:rsidP="00A22A56">
      <w:pPr>
        <w:jc w:val="center"/>
        <w:rPr>
          <w:rFonts w:ascii="Arial" w:hAnsi="Arial" w:cs="Arial"/>
          <w:b/>
          <w:sz w:val="24"/>
          <w:szCs w:val="24"/>
          <w:lang w:val="es-PR"/>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margin">
              <wp:posOffset>-465513</wp:posOffset>
            </wp:positionH>
            <wp:positionV relativeFrom="paragraph">
              <wp:posOffset>-692727</wp:posOffset>
            </wp:positionV>
            <wp:extent cx="2508240" cy="1075113"/>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se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40" cy="1075113"/>
                    </a:xfrm>
                    <a:prstGeom prst="rect">
                      <a:avLst/>
                    </a:prstGeom>
                  </pic:spPr>
                </pic:pic>
              </a:graphicData>
            </a:graphic>
            <wp14:sizeRelH relativeFrom="margin">
              <wp14:pctWidth>0</wp14:pctWidth>
            </wp14:sizeRelH>
            <wp14:sizeRelV relativeFrom="margin">
              <wp14:pctHeight>0</wp14:pctHeight>
            </wp14:sizeRelV>
          </wp:anchor>
        </w:drawing>
      </w:r>
    </w:p>
    <w:p w:rsidR="00C33633" w:rsidRDefault="00C33633" w:rsidP="00A22A56">
      <w:pPr>
        <w:jc w:val="center"/>
        <w:rPr>
          <w:rFonts w:ascii="Arial" w:hAnsi="Arial" w:cs="Arial"/>
          <w:b/>
          <w:sz w:val="24"/>
          <w:szCs w:val="24"/>
          <w:lang w:val="es-PR"/>
        </w:rPr>
      </w:pPr>
    </w:p>
    <w:p w:rsidR="00C33633" w:rsidRPr="00C7167F" w:rsidRDefault="00C33633" w:rsidP="00A22A56">
      <w:pPr>
        <w:jc w:val="center"/>
        <w:rPr>
          <w:rFonts w:ascii="Arial" w:hAnsi="Arial" w:cs="Arial"/>
          <w:b/>
          <w:sz w:val="24"/>
          <w:szCs w:val="24"/>
          <w:lang w:val="es-PR"/>
        </w:rPr>
      </w:pPr>
    </w:p>
    <w:p w:rsidR="00C7167F" w:rsidRPr="00C7167F" w:rsidRDefault="003D16B2" w:rsidP="00C7167F">
      <w:pPr>
        <w:rPr>
          <w:rFonts w:ascii="Arial" w:hAnsi="Arial" w:cs="Arial"/>
          <w:sz w:val="24"/>
          <w:szCs w:val="24"/>
          <w:lang w:val="es-PR"/>
        </w:rPr>
      </w:pPr>
      <w:r>
        <w:rPr>
          <w:rFonts w:ascii="Arial" w:hAnsi="Arial" w:cs="Arial"/>
          <w:sz w:val="24"/>
          <w:szCs w:val="24"/>
          <w:lang w:val="es-PR"/>
        </w:rPr>
        <w:t xml:space="preserve">19 </w:t>
      </w:r>
      <w:r w:rsidR="00C7167F" w:rsidRPr="00C7167F">
        <w:rPr>
          <w:rFonts w:ascii="Arial" w:hAnsi="Arial" w:cs="Arial"/>
          <w:sz w:val="24"/>
          <w:szCs w:val="24"/>
          <w:lang w:val="es-PR"/>
        </w:rPr>
        <w:t>de octubre de 2016</w:t>
      </w:r>
    </w:p>
    <w:p w:rsidR="00C7167F" w:rsidRPr="00C7167F" w:rsidRDefault="00C7167F" w:rsidP="00C7167F">
      <w:pPr>
        <w:rPr>
          <w:rFonts w:ascii="Arial" w:hAnsi="Arial" w:cs="Arial"/>
          <w:sz w:val="24"/>
          <w:szCs w:val="24"/>
          <w:lang w:val="es-PR"/>
        </w:rPr>
      </w:pPr>
    </w:p>
    <w:p w:rsidR="00C7167F" w:rsidRPr="00C7167F" w:rsidRDefault="00C7167F" w:rsidP="00C7167F">
      <w:pPr>
        <w:rPr>
          <w:rFonts w:ascii="Arial" w:hAnsi="Arial" w:cs="Arial"/>
          <w:sz w:val="24"/>
          <w:szCs w:val="24"/>
          <w:lang w:val="es-PR"/>
        </w:rPr>
      </w:pPr>
      <w:r w:rsidRPr="00C7167F">
        <w:rPr>
          <w:rFonts w:ascii="Arial" w:hAnsi="Arial" w:cs="Arial"/>
          <w:sz w:val="24"/>
          <w:szCs w:val="24"/>
          <w:lang w:val="es-PR"/>
        </w:rPr>
        <w:t>Comité de Transición – Vistas Públicas de Transición</w:t>
      </w:r>
    </w:p>
    <w:p w:rsidR="00C7167F" w:rsidRPr="00C7167F" w:rsidRDefault="00C7167F" w:rsidP="00C7167F">
      <w:pPr>
        <w:rPr>
          <w:rFonts w:ascii="Arial" w:hAnsi="Arial" w:cs="Arial"/>
          <w:sz w:val="24"/>
          <w:szCs w:val="24"/>
          <w:lang w:val="es-PR"/>
        </w:rPr>
      </w:pPr>
      <w:r w:rsidRPr="00C7167F">
        <w:rPr>
          <w:rFonts w:ascii="Arial" w:hAnsi="Arial" w:cs="Arial"/>
          <w:sz w:val="24"/>
          <w:szCs w:val="24"/>
          <w:lang w:val="es-PR"/>
        </w:rPr>
        <w:t xml:space="preserve">Departamento de Estado </w:t>
      </w:r>
    </w:p>
    <w:p w:rsidR="00C7167F" w:rsidRPr="00C7167F" w:rsidRDefault="00C7167F" w:rsidP="00C7167F">
      <w:pPr>
        <w:rPr>
          <w:rFonts w:ascii="Arial" w:hAnsi="Arial" w:cs="Arial"/>
          <w:sz w:val="24"/>
          <w:szCs w:val="24"/>
          <w:lang w:val="es-PR"/>
        </w:rPr>
      </w:pPr>
      <w:r w:rsidRPr="00C7167F">
        <w:rPr>
          <w:rFonts w:ascii="Arial" w:hAnsi="Arial" w:cs="Arial"/>
          <w:sz w:val="24"/>
          <w:szCs w:val="24"/>
          <w:lang w:val="es-PR"/>
        </w:rPr>
        <w:t>P.O. Box 9023271</w:t>
      </w:r>
    </w:p>
    <w:p w:rsidR="00C7167F" w:rsidRPr="00C7167F" w:rsidRDefault="00C7167F" w:rsidP="00C7167F">
      <w:pPr>
        <w:rPr>
          <w:rFonts w:ascii="Arial" w:hAnsi="Arial" w:cs="Arial"/>
          <w:sz w:val="24"/>
          <w:szCs w:val="24"/>
          <w:lang w:val="es-PR"/>
        </w:rPr>
      </w:pPr>
      <w:r w:rsidRPr="00C7167F">
        <w:rPr>
          <w:rFonts w:ascii="Arial" w:hAnsi="Arial" w:cs="Arial"/>
          <w:sz w:val="24"/>
          <w:szCs w:val="24"/>
          <w:lang w:val="es-PR"/>
        </w:rPr>
        <w:t>San Juan, Puerto Rico 00902-3271</w:t>
      </w:r>
    </w:p>
    <w:p w:rsidR="00C7167F" w:rsidRPr="00C7167F" w:rsidRDefault="00C7167F" w:rsidP="00C7167F">
      <w:pPr>
        <w:rPr>
          <w:rFonts w:ascii="Arial" w:hAnsi="Arial" w:cs="Arial"/>
          <w:sz w:val="24"/>
          <w:szCs w:val="24"/>
          <w:lang w:val="es-PR"/>
        </w:rPr>
      </w:pPr>
    </w:p>
    <w:p w:rsidR="00C7167F" w:rsidRPr="00C7167F" w:rsidRDefault="00C7167F" w:rsidP="00C7167F">
      <w:pPr>
        <w:rPr>
          <w:rFonts w:ascii="Arial" w:hAnsi="Arial" w:cs="Arial"/>
          <w:sz w:val="24"/>
          <w:szCs w:val="24"/>
          <w:lang w:val="es-PR"/>
        </w:rPr>
      </w:pPr>
      <w:r w:rsidRPr="00C7167F">
        <w:rPr>
          <w:rFonts w:ascii="Arial" w:hAnsi="Arial" w:cs="Arial"/>
          <w:sz w:val="24"/>
          <w:szCs w:val="24"/>
          <w:lang w:val="es-PR"/>
        </w:rPr>
        <w:t>Estimados miembros del Comité de Transición:</w:t>
      </w:r>
    </w:p>
    <w:p w:rsidR="00C7167F" w:rsidRPr="0028537A" w:rsidRDefault="00C7167F" w:rsidP="00C7167F">
      <w:pPr>
        <w:jc w:val="both"/>
        <w:rPr>
          <w:rFonts w:ascii="Arial" w:hAnsi="Arial" w:cs="Arial"/>
          <w:sz w:val="24"/>
          <w:szCs w:val="24"/>
          <w:lang w:val="es-PR"/>
        </w:rPr>
      </w:pPr>
      <w:r w:rsidRPr="00C7167F">
        <w:rPr>
          <w:rFonts w:ascii="Arial" w:hAnsi="Arial" w:cs="Arial"/>
          <w:sz w:val="24"/>
          <w:szCs w:val="24"/>
          <w:lang w:val="es-PR"/>
        </w:rPr>
        <w:t xml:space="preserve">Comparece ante el Comité de Transición Sergio Ortiz Quiñones, Presidente </w:t>
      </w:r>
      <w:r w:rsidR="0028537A">
        <w:rPr>
          <w:rFonts w:ascii="Arial" w:hAnsi="Arial" w:cs="Arial"/>
          <w:sz w:val="24"/>
          <w:szCs w:val="24"/>
          <w:lang w:val="es-PR"/>
        </w:rPr>
        <w:t xml:space="preserve">Ejecutivo </w:t>
      </w:r>
      <w:r w:rsidRPr="00C7167F">
        <w:rPr>
          <w:rFonts w:ascii="Arial" w:hAnsi="Arial" w:cs="Arial"/>
          <w:sz w:val="24"/>
          <w:szCs w:val="24"/>
          <w:lang w:val="es-PR"/>
        </w:rPr>
        <w:t xml:space="preserve">Interino y compañeros gerenciales de la Corporación Pública para la Supervisión y </w:t>
      </w:r>
      <w:r w:rsidRPr="0028537A">
        <w:rPr>
          <w:rFonts w:ascii="Arial" w:hAnsi="Arial" w:cs="Arial"/>
          <w:sz w:val="24"/>
          <w:szCs w:val="24"/>
          <w:lang w:val="es-PR"/>
        </w:rPr>
        <w:t>Seguro de Cooperativas de Puerto Rico (COSSEC).</w:t>
      </w:r>
    </w:p>
    <w:p w:rsidR="00C7167F" w:rsidRPr="007F1411" w:rsidRDefault="00C7167F" w:rsidP="007F1411">
      <w:pPr>
        <w:rPr>
          <w:rFonts w:ascii="Arial" w:hAnsi="Arial" w:cs="Arial"/>
          <w:sz w:val="24"/>
          <w:szCs w:val="24"/>
          <w:lang w:val="es-PR"/>
        </w:rPr>
      </w:pPr>
      <w:r w:rsidRPr="0028537A">
        <w:rPr>
          <w:rFonts w:ascii="Arial" w:hAnsi="Arial" w:cs="Arial"/>
          <w:sz w:val="24"/>
          <w:szCs w:val="24"/>
          <w:lang w:val="es-PR"/>
        </w:rPr>
        <w:t>A continuación, nombres de l</w:t>
      </w:r>
      <w:r w:rsidR="00C52BA9">
        <w:rPr>
          <w:rFonts w:ascii="Arial" w:hAnsi="Arial" w:cs="Arial"/>
          <w:sz w:val="24"/>
          <w:szCs w:val="24"/>
          <w:lang w:val="es-PR"/>
        </w:rPr>
        <w:t xml:space="preserve">as personas </w:t>
      </w:r>
      <w:r w:rsidRPr="0028537A">
        <w:rPr>
          <w:rFonts w:ascii="Arial" w:hAnsi="Arial" w:cs="Arial"/>
          <w:sz w:val="24"/>
          <w:szCs w:val="24"/>
          <w:lang w:val="es-PR"/>
        </w:rPr>
        <w:t>que me acompañan:</w:t>
      </w:r>
    </w:p>
    <w:p w:rsidR="00AB3CBA" w:rsidRPr="005629C1" w:rsidRDefault="004C560F" w:rsidP="004C560F">
      <w:pPr>
        <w:pStyle w:val="ListParagraph"/>
        <w:numPr>
          <w:ilvl w:val="0"/>
          <w:numId w:val="13"/>
        </w:numPr>
        <w:rPr>
          <w:rFonts w:ascii="Arial" w:hAnsi="Arial" w:cs="Arial"/>
          <w:sz w:val="24"/>
          <w:szCs w:val="24"/>
          <w:lang w:val="es-PR"/>
        </w:rPr>
      </w:pPr>
      <w:r w:rsidRPr="005629C1">
        <w:rPr>
          <w:rFonts w:ascii="Arial" w:hAnsi="Arial" w:cs="Arial"/>
          <w:sz w:val="24"/>
          <w:szCs w:val="24"/>
          <w:lang w:val="es-PR"/>
        </w:rPr>
        <w:t>David Rivera O'Neill, Vicepresidente Ejecutivo</w:t>
      </w:r>
    </w:p>
    <w:p w:rsidR="00C7167F" w:rsidRPr="005308E7" w:rsidRDefault="00C7167F" w:rsidP="00C7167F">
      <w:pPr>
        <w:pStyle w:val="ListParagraph"/>
        <w:numPr>
          <w:ilvl w:val="0"/>
          <w:numId w:val="13"/>
        </w:numPr>
        <w:rPr>
          <w:rFonts w:ascii="Arial" w:hAnsi="Arial" w:cs="Arial"/>
          <w:sz w:val="24"/>
          <w:szCs w:val="24"/>
          <w:lang w:val="es-PR"/>
        </w:rPr>
      </w:pPr>
      <w:r w:rsidRPr="005308E7">
        <w:rPr>
          <w:rFonts w:ascii="Arial" w:hAnsi="Arial" w:cs="Arial"/>
          <w:sz w:val="24"/>
          <w:szCs w:val="24"/>
          <w:lang w:val="es-PR"/>
        </w:rPr>
        <w:t>Blanca I. Ramos Robles, Vicepresidenta de Administración y Recursos Humanos</w:t>
      </w:r>
    </w:p>
    <w:p w:rsidR="00C7167F" w:rsidRPr="005308E7" w:rsidRDefault="00C7167F" w:rsidP="00C7167F">
      <w:pPr>
        <w:pStyle w:val="ListParagraph"/>
        <w:numPr>
          <w:ilvl w:val="0"/>
          <w:numId w:val="13"/>
        </w:numPr>
        <w:rPr>
          <w:rFonts w:ascii="Arial" w:hAnsi="Arial" w:cs="Arial"/>
          <w:sz w:val="24"/>
          <w:szCs w:val="24"/>
          <w:lang w:val="es-PR"/>
        </w:rPr>
      </w:pPr>
      <w:r w:rsidRPr="005308E7">
        <w:rPr>
          <w:rFonts w:ascii="Arial" w:hAnsi="Arial" w:cs="Arial"/>
          <w:sz w:val="24"/>
          <w:szCs w:val="24"/>
          <w:lang w:val="es-PR"/>
        </w:rPr>
        <w:t>Jose Carrasquillo</w:t>
      </w:r>
      <w:r w:rsidR="007F1411">
        <w:rPr>
          <w:rFonts w:ascii="Arial" w:hAnsi="Arial" w:cs="Arial"/>
          <w:sz w:val="24"/>
          <w:szCs w:val="24"/>
          <w:lang w:val="es-PR"/>
        </w:rPr>
        <w:t xml:space="preserve"> Alicea</w:t>
      </w:r>
      <w:r w:rsidRPr="005308E7">
        <w:rPr>
          <w:rFonts w:ascii="Arial" w:hAnsi="Arial" w:cs="Arial"/>
          <w:sz w:val="24"/>
          <w:szCs w:val="24"/>
          <w:lang w:val="es-PR"/>
        </w:rPr>
        <w:t>, Director de Finanzas</w:t>
      </w:r>
    </w:p>
    <w:p w:rsidR="00C7167F" w:rsidRPr="00C7167F" w:rsidRDefault="00C7167F" w:rsidP="00C7167F">
      <w:pPr>
        <w:jc w:val="both"/>
        <w:rPr>
          <w:rFonts w:ascii="Arial" w:hAnsi="Arial" w:cs="Arial"/>
          <w:sz w:val="24"/>
          <w:szCs w:val="24"/>
          <w:lang w:val="es-PR"/>
        </w:rPr>
      </w:pPr>
      <w:r w:rsidRPr="00C7167F">
        <w:rPr>
          <w:rFonts w:ascii="Arial" w:hAnsi="Arial" w:cs="Arial"/>
          <w:sz w:val="24"/>
          <w:szCs w:val="24"/>
          <w:lang w:val="es-PR"/>
        </w:rPr>
        <w:t>En esta ponencia mostramos información concerniente a la estructura organizacional, presupuesto, áreas operacionales, funciones principales de la Corporación, iniciativas instituidas, asuntos de relevancia aún pendientes, entre otros datos.</w:t>
      </w:r>
    </w:p>
    <w:p w:rsidR="00C7167F" w:rsidRDefault="00C7167F" w:rsidP="00C7167F">
      <w:pPr>
        <w:rPr>
          <w:sz w:val="24"/>
          <w:szCs w:val="24"/>
          <w:lang w:val="es-PR"/>
        </w:rPr>
      </w:pPr>
    </w:p>
    <w:p w:rsidR="00C7167F" w:rsidRPr="00CD1F04" w:rsidRDefault="00C7167F" w:rsidP="00C7167F">
      <w:pPr>
        <w:rPr>
          <w:sz w:val="24"/>
          <w:szCs w:val="24"/>
          <w:lang w:val="es-PR"/>
        </w:rPr>
      </w:pPr>
    </w:p>
    <w:p w:rsidR="00C7167F" w:rsidRPr="00CD1F04" w:rsidRDefault="00C7167F" w:rsidP="00C7167F">
      <w:pPr>
        <w:rPr>
          <w:lang w:val="es-PR"/>
        </w:rPr>
      </w:pPr>
    </w:p>
    <w:p w:rsidR="00C7167F" w:rsidRPr="00CD1F04" w:rsidRDefault="00C7167F" w:rsidP="00C7167F">
      <w:pPr>
        <w:rPr>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7167F" w:rsidRDefault="00C7167F" w:rsidP="00A22A56">
      <w:pPr>
        <w:jc w:val="center"/>
        <w:rPr>
          <w:rFonts w:ascii="Arial" w:hAnsi="Arial" w:cs="Arial"/>
          <w:b/>
          <w:sz w:val="24"/>
          <w:szCs w:val="24"/>
          <w:lang w:val="es-PR"/>
        </w:rPr>
      </w:pPr>
    </w:p>
    <w:p w:rsidR="00CD1F04" w:rsidRPr="00A22A56" w:rsidRDefault="0070762C" w:rsidP="00A22A56">
      <w:pPr>
        <w:jc w:val="center"/>
        <w:rPr>
          <w:rFonts w:ascii="Arial" w:hAnsi="Arial" w:cs="Arial"/>
          <w:b/>
          <w:sz w:val="24"/>
          <w:szCs w:val="24"/>
          <w:lang w:val="es-PR"/>
        </w:rPr>
      </w:pPr>
      <w:r w:rsidRPr="00A22A56">
        <w:rPr>
          <w:rFonts w:ascii="Arial" w:hAnsi="Arial" w:cs="Arial"/>
          <w:b/>
          <w:sz w:val="24"/>
          <w:szCs w:val="24"/>
          <w:lang w:val="es-PR"/>
        </w:rPr>
        <w:t>COSSEC y sus Leyes Habilitadoras</w:t>
      </w:r>
    </w:p>
    <w:p w:rsidR="0070762C" w:rsidRPr="00A22A56" w:rsidRDefault="0070762C" w:rsidP="00A22A56">
      <w:pPr>
        <w:jc w:val="center"/>
        <w:rPr>
          <w:rFonts w:ascii="Arial" w:hAnsi="Arial" w:cs="Arial"/>
          <w:b/>
          <w:sz w:val="24"/>
          <w:szCs w:val="24"/>
          <w:lang w:val="es-PR"/>
        </w:rPr>
      </w:pPr>
      <w:r w:rsidRPr="00A22A56">
        <w:rPr>
          <w:rFonts w:ascii="Arial" w:hAnsi="Arial" w:cs="Arial"/>
          <w:b/>
          <w:sz w:val="24"/>
          <w:szCs w:val="24"/>
          <w:lang w:val="es-PR"/>
        </w:rPr>
        <w:t xml:space="preserve">COSSEC es una </w:t>
      </w:r>
      <w:r w:rsidR="00E7008F" w:rsidRPr="00A22A56">
        <w:rPr>
          <w:rFonts w:ascii="Arial" w:hAnsi="Arial" w:cs="Arial"/>
          <w:b/>
          <w:sz w:val="24"/>
          <w:szCs w:val="24"/>
          <w:lang w:val="es-PR"/>
        </w:rPr>
        <w:t>corporación</w:t>
      </w:r>
      <w:r w:rsidRPr="00A22A56">
        <w:rPr>
          <w:rFonts w:ascii="Arial" w:hAnsi="Arial" w:cs="Arial"/>
          <w:b/>
          <w:sz w:val="24"/>
          <w:szCs w:val="24"/>
          <w:lang w:val="es-PR"/>
        </w:rPr>
        <w:t xml:space="preserve"> </w:t>
      </w:r>
      <w:r w:rsidR="00E7008F" w:rsidRPr="00A22A56">
        <w:rPr>
          <w:rFonts w:ascii="Arial" w:hAnsi="Arial" w:cs="Arial"/>
          <w:b/>
          <w:sz w:val="24"/>
          <w:szCs w:val="24"/>
          <w:lang w:val="es-PR"/>
        </w:rPr>
        <w:t>pública creada al amparo de la Ley Núm. 114 del 17 de agosto de 2001, según enmendada, como la Ley de la Corporación Pública para la Supervisión y Seguro de Cooperativas de Puerto Rico.</w:t>
      </w:r>
    </w:p>
    <w:p w:rsidR="00E7008F" w:rsidRPr="00A22A56" w:rsidRDefault="00E7008F">
      <w:pPr>
        <w:rPr>
          <w:rFonts w:ascii="Arial" w:hAnsi="Arial" w:cs="Arial"/>
          <w:b/>
          <w:sz w:val="24"/>
          <w:szCs w:val="24"/>
          <w:lang w:val="es-PR"/>
        </w:rPr>
      </w:pPr>
      <w:r w:rsidRPr="00A22A56">
        <w:rPr>
          <w:rFonts w:ascii="Arial" w:hAnsi="Arial" w:cs="Arial"/>
          <w:b/>
          <w:sz w:val="24"/>
          <w:szCs w:val="24"/>
          <w:lang w:val="es-PR"/>
        </w:rPr>
        <w:t xml:space="preserve">Las funciones </w:t>
      </w:r>
      <w:r w:rsidR="006F4E91" w:rsidRPr="00A22A56">
        <w:rPr>
          <w:rFonts w:ascii="Arial" w:hAnsi="Arial" w:cs="Arial"/>
          <w:b/>
          <w:sz w:val="24"/>
          <w:szCs w:val="24"/>
          <w:lang w:val="es-PR"/>
        </w:rPr>
        <w:t>primordiales</w:t>
      </w:r>
      <w:r w:rsidRPr="00A22A56">
        <w:rPr>
          <w:rFonts w:ascii="Arial" w:hAnsi="Arial" w:cs="Arial"/>
          <w:b/>
          <w:sz w:val="24"/>
          <w:szCs w:val="24"/>
          <w:lang w:val="es-PR"/>
        </w:rPr>
        <w:t xml:space="preserve"> de la Corporación </w:t>
      </w:r>
      <w:r w:rsidR="006F4E91" w:rsidRPr="00A22A56">
        <w:rPr>
          <w:rFonts w:ascii="Arial" w:hAnsi="Arial" w:cs="Arial"/>
          <w:b/>
          <w:sz w:val="24"/>
          <w:szCs w:val="24"/>
          <w:lang w:val="es-PR"/>
        </w:rPr>
        <w:t>circunscriben</w:t>
      </w:r>
      <w:r w:rsidRPr="00A22A56">
        <w:rPr>
          <w:rFonts w:ascii="Arial" w:hAnsi="Arial" w:cs="Arial"/>
          <w:b/>
          <w:sz w:val="24"/>
          <w:szCs w:val="24"/>
          <w:lang w:val="es-PR"/>
        </w:rPr>
        <w:t>:</w:t>
      </w:r>
    </w:p>
    <w:p w:rsidR="00E7008F" w:rsidRPr="00A22A56" w:rsidRDefault="00E7008F" w:rsidP="00E7008F">
      <w:pPr>
        <w:pStyle w:val="ListParagraph"/>
        <w:numPr>
          <w:ilvl w:val="0"/>
          <w:numId w:val="2"/>
        </w:numPr>
        <w:rPr>
          <w:rFonts w:ascii="Arial" w:hAnsi="Arial" w:cs="Arial"/>
          <w:sz w:val="24"/>
          <w:szCs w:val="24"/>
          <w:lang w:val="es-PR"/>
        </w:rPr>
      </w:pPr>
      <w:r w:rsidRPr="00A22A56">
        <w:rPr>
          <w:rFonts w:ascii="Arial" w:hAnsi="Arial" w:cs="Arial"/>
          <w:sz w:val="24"/>
          <w:szCs w:val="24"/>
          <w:lang w:val="es-PR"/>
        </w:rPr>
        <w:t>Fiscalizar y supervisar a las cooperativas que operan en Puerto Rico.</w:t>
      </w:r>
    </w:p>
    <w:p w:rsidR="00E7008F" w:rsidRPr="00A22A56" w:rsidRDefault="00E7008F" w:rsidP="00E7008F">
      <w:pPr>
        <w:pStyle w:val="ListParagraph"/>
        <w:numPr>
          <w:ilvl w:val="0"/>
          <w:numId w:val="2"/>
        </w:numPr>
        <w:rPr>
          <w:rFonts w:ascii="Arial" w:hAnsi="Arial" w:cs="Arial"/>
          <w:sz w:val="24"/>
          <w:szCs w:val="24"/>
          <w:lang w:val="es-PR"/>
        </w:rPr>
      </w:pPr>
      <w:r w:rsidRPr="00A22A56">
        <w:rPr>
          <w:rFonts w:ascii="Arial" w:hAnsi="Arial" w:cs="Arial"/>
          <w:sz w:val="24"/>
          <w:szCs w:val="24"/>
          <w:lang w:val="es-PR"/>
        </w:rPr>
        <w:t xml:space="preserve"> Proveer un seguro de acciones y depósitos de hasta $250,000 por depositante, a todas las cooperativas de ahorro y crédito.</w:t>
      </w:r>
    </w:p>
    <w:p w:rsidR="00E7008F" w:rsidRPr="00A22A56" w:rsidRDefault="00721799" w:rsidP="00E7008F">
      <w:pPr>
        <w:pStyle w:val="ListParagraph"/>
        <w:numPr>
          <w:ilvl w:val="0"/>
          <w:numId w:val="2"/>
        </w:numPr>
        <w:rPr>
          <w:rFonts w:ascii="Arial" w:hAnsi="Arial" w:cs="Arial"/>
          <w:sz w:val="24"/>
          <w:szCs w:val="24"/>
          <w:lang w:val="es-PR"/>
        </w:rPr>
      </w:pPr>
      <w:r w:rsidRPr="00A22A56">
        <w:rPr>
          <w:rFonts w:ascii="Arial" w:hAnsi="Arial" w:cs="Arial"/>
          <w:sz w:val="24"/>
          <w:szCs w:val="24"/>
          <w:lang w:val="es-PR"/>
        </w:rPr>
        <w:t>Velar por los derechos y prerrogativas de los socios de todas las cooperativas.</w:t>
      </w:r>
    </w:p>
    <w:p w:rsidR="00721799" w:rsidRPr="00A22A56" w:rsidRDefault="00721799" w:rsidP="00E7008F">
      <w:pPr>
        <w:pStyle w:val="ListParagraph"/>
        <w:numPr>
          <w:ilvl w:val="0"/>
          <w:numId w:val="2"/>
        </w:numPr>
        <w:rPr>
          <w:rFonts w:ascii="Arial" w:hAnsi="Arial" w:cs="Arial"/>
          <w:sz w:val="24"/>
          <w:szCs w:val="24"/>
          <w:lang w:val="es-PR"/>
        </w:rPr>
      </w:pPr>
      <w:r w:rsidRPr="00A22A56">
        <w:rPr>
          <w:rFonts w:ascii="Arial" w:hAnsi="Arial" w:cs="Arial"/>
          <w:sz w:val="24"/>
          <w:szCs w:val="24"/>
          <w:lang w:val="es-PR"/>
        </w:rPr>
        <w:t>Contribuir al desarrollo y fortalecimiento de las cooperativas de Puerto Rico.</w:t>
      </w:r>
    </w:p>
    <w:p w:rsidR="00585DEA" w:rsidRPr="00A22A56" w:rsidRDefault="005201EF">
      <w:pPr>
        <w:rPr>
          <w:rFonts w:ascii="Arial" w:hAnsi="Arial" w:cs="Arial"/>
          <w:sz w:val="24"/>
          <w:szCs w:val="24"/>
          <w:lang w:val="es-PR"/>
        </w:rPr>
      </w:pPr>
      <w:r w:rsidRPr="00A22A56">
        <w:rPr>
          <w:rFonts w:ascii="Arial" w:hAnsi="Arial" w:cs="Arial"/>
          <w:sz w:val="24"/>
          <w:szCs w:val="24"/>
          <w:lang w:val="es-PR"/>
        </w:rPr>
        <w:t>_____________________________________________________</w:t>
      </w:r>
      <w:r w:rsidR="006A084B">
        <w:rPr>
          <w:rFonts w:ascii="Arial" w:hAnsi="Arial" w:cs="Arial"/>
          <w:sz w:val="24"/>
          <w:szCs w:val="24"/>
          <w:lang w:val="es-PR"/>
        </w:rPr>
        <w:t>_________________</w:t>
      </w:r>
    </w:p>
    <w:p w:rsidR="00585DEA" w:rsidRPr="00A22A56" w:rsidRDefault="00CC3C7C" w:rsidP="00585DEA">
      <w:pPr>
        <w:jc w:val="both"/>
        <w:rPr>
          <w:rFonts w:ascii="Arial" w:hAnsi="Arial" w:cs="Arial"/>
          <w:sz w:val="24"/>
          <w:szCs w:val="24"/>
          <w:lang w:val="es-PR"/>
        </w:rPr>
      </w:pPr>
      <w:r w:rsidRPr="00A22A56">
        <w:rPr>
          <w:rFonts w:ascii="Arial" w:hAnsi="Arial" w:cs="Arial"/>
          <w:sz w:val="24"/>
          <w:szCs w:val="24"/>
          <w:lang w:val="es-PR"/>
        </w:rPr>
        <w:t>El 10 de agosto de 2008, fue aprobada la Ley Núm. 247, conocida como la Ley Orgánica de la Comisión de Desarrollo Cooperativo de Puerto Rico. C</w:t>
      </w:r>
      <w:r w:rsidR="005201EF" w:rsidRPr="00A22A56">
        <w:rPr>
          <w:rFonts w:ascii="Arial" w:hAnsi="Arial" w:cs="Arial"/>
          <w:sz w:val="24"/>
          <w:szCs w:val="24"/>
          <w:lang w:val="es-PR"/>
        </w:rPr>
        <w:t xml:space="preserve">omo </w:t>
      </w:r>
      <w:r w:rsidR="00B609AF" w:rsidRPr="00A22A56">
        <w:rPr>
          <w:rFonts w:ascii="Arial" w:hAnsi="Arial" w:cs="Arial"/>
          <w:sz w:val="24"/>
          <w:szCs w:val="24"/>
          <w:lang w:val="es-PR"/>
        </w:rPr>
        <w:t>consecuencia</w:t>
      </w:r>
      <w:r w:rsidR="005201EF" w:rsidRPr="00A22A56">
        <w:rPr>
          <w:rFonts w:ascii="Arial" w:hAnsi="Arial" w:cs="Arial"/>
          <w:sz w:val="24"/>
          <w:szCs w:val="24"/>
          <w:lang w:val="es-PR"/>
        </w:rPr>
        <w:t xml:space="preserve"> de la implantación de </w:t>
      </w:r>
      <w:r w:rsidRPr="00A22A56">
        <w:rPr>
          <w:rFonts w:ascii="Arial" w:hAnsi="Arial" w:cs="Arial"/>
          <w:sz w:val="24"/>
          <w:szCs w:val="24"/>
          <w:lang w:val="es-PR"/>
        </w:rPr>
        <w:t>dicha Ley</w:t>
      </w:r>
      <w:r w:rsidR="005201EF" w:rsidRPr="00A22A56">
        <w:rPr>
          <w:rFonts w:ascii="Arial" w:hAnsi="Arial" w:cs="Arial"/>
          <w:sz w:val="24"/>
          <w:szCs w:val="24"/>
          <w:lang w:val="es-PR"/>
        </w:rPr>
        <w:t>,</w:t>
      </w:r>
      <w:r w:rsidRPr="00A22A56">
        <w:rPr>
          <w:rFonts w:ascii="Arial" w:hAnsi="Arial" w:cs="Arial"/>
          <w:sz w:val="24"/>
          <w:szCs w:val="24"/>
          <w:lang w:val="es-PR"/>
        </w:rPr>
        <w:t xml:space="preserve"> surge una transformación en la supervisión, fiscalización y promoción de las cooperativas en Puerto Rico</w:t>
      </w:r>
      <w:r w:rsidR="00585DEA" w:rsidRPr="00A22A56">
        <w:rPr>
          <w:rFonts w:ascii="Arial" w:hAnsi="Arial" w:cs="Arial"/>
          <w:sz w:val="24"/>
          <w:szCs w:val="24"/>
          <w:lang w:val="es-PR"/>
        </w:rPr>
        <w:t xml:space="preserve">. </w:t>
      </w:r>
      <w:r w:rsidR="00843CBA" w:rsidRPr="00A22A56">
        <w:rPr>
          <w:rFonts w:ascii="Arial" w:hAnsi="Arial" w:cs="Arial"/>
          <w:sz w:val="24"/>
          <w:szCs w:val="24"/>
          <w:lang w:val="es-PR"/>
        </w:rPr>
        <w:t xml:space="preserve">Al mismo tiempo, </w:t>
      </w:r>
      <w:r w:rsidR="00B609AF" w:rsidRPr="00A22A56">
        <w:rPr>
          <w:rFonts w:ascii="Arial" w:hAnsi="Arial" w:cs="Arial"/>
          <w:sz w:val="24"/>
          <w:szCs w:val="24"/>
          <w:lang w:val="es-PR"/>
        </w:rPr>
        <w:t xml:space="preserve">surgieron </w:t>
      </w:r>
      <w:r w:rsidR="00406727" w:rsidRPr="00A22A56">
        <w:rPr>
          <w:rFonts w:ascii="Arial" w:hAnsi="Arial" w:cs="Arial"/>
          <w:sz w:val="24"/>
          <w:szCs w:val="24"/>
          <w:lang w:val="es-PR"/>
        </w:rPr>
        <w:t xml:space="preserve">los siguientes </w:t>
      </w:r>
      <w:r w:rsidR="00B609AF" w:rsidRPr="00A22A56">
        <w:rPr>
          <w:rFonts w:ascii="Arial" w:hAnsi="Arial" w:cs="Arial"/>
          <w:sz w:val="24"/>
          <w:szCs w:val="24"/>
          <w:lang w:val="es-PR"/>
        </w:rPr>
        <w:t>resultados</w:t>
      </w:r>
      <w:r w:rsidR="00585DEA" w:rsidRPr="00A22A56">
        <w:rPr>
          <w:rFonts w:ascii="Arial" w:hAnsi="Arial" w:cs="Arial"/>
          <w:sz w:val="24"/>
          <w:szCs w:val="24"/>
          <w:lang w:val="es-PR"/>
        </w:rPr>
        <w:t>:</w:t>
      </w:r>
    </w:p>
    <w:p w:rsidR="00406727" w:rsidRPr="00A22A56" w:rsidRDefault="00406727"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Crea de la Comisión de Desarrollo Cooperativo</w:t>
      </w:r>
      <w:r w:rsidR="00B609AF" w:rsidRPr="00A22A56">
        <w:rPr>
          <w:rFonts w:ascii="Arial" w:hAnsi="Arial" w:cs="Arial"/>
          <w:sz w:val="24"/>
          <w:szCs w:val="24"/>
          <w:lang w:val="es-PR"/>
        </w:rPr>
        <w:t>.</w:t>
      </w:r>
    </w:p>
    <w:p w:rsidR="00585DEA" w:rsidRPr="00A22A56" w:rsidRDefault="00406727"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 xml:space="preserve">Estable la Junta Rectora de la Comisión de Desarrollo Cooperativo, la cual tiene </w:t>
      </w:r>
      <w:r w:rsidR="005F37EB" w:rsidRPr="00A22A56">
        <w:rPr>
          <w:rFonts w:ascii="Arial" w:hAnsi="Arial" w:cs="Arial"/>
          <w:sz w:val="24"/>
          <w:szCs w:val="24"/>
          <w:lang w:val="es-PR"/>
        </w:rPr>
        <w:t xml:space="preserve">el deber </w:t>
      </w:r>
      <w:r w:rsidRPr="00A22A56">
        <w:rPr>
          <w:rFonts w:ascii="Arial" w:hAnsi="Arial" w:cs="Arial"/>
          <w:sz w:val="24"/>
          <w:szCs w:val="24"/>
          <w:lang w:val="es-PR"/>
        </w:rPr>
        <w:t xml:space="preserve">de definir y establecer la política pública relacionada con el cooperativismo en Puerto Rico. </w:t>
      </w:r>
    </w:p>
    <w:p w:rsidR="002236AB" w:rsidRPr="00A22A56" w:rsidRDefault="002236AB"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 xml:space="preserve">Reorganiza a los componentes promotores y </w:t>
      </w:r>
      <w:r w:rsidR="003C7E8D" w:rsidRPr="00A22A56">
        <w:rPr>
          <w:rFonts w:ascii="Arial" w:hAnsi="Arial" w:cs="Arial"/>
          <w:sz w:val="24"/>
          <w:szCs w:val="24"/>
          <w:lang w:val="es-PR"/>
        </w:rPr>
        <w:t>reguladores gubernamentales con injerencia en los asuntos d</w:t>
      </w:r>
      <w:r w:rsidR="003040AA" w:rsidRPr="00A22A56">
        <w:rPr>
          <w:rFonts w:ascii="Arial" w:hAnsi="Arial" w:cs="Arial"/>
          <w:sz w:val="24"/>
          <w:szCs w:val="24"/>
          <w:lang w:val="es-PR"/>
        </w:rPr>
        <w:t xml:space="preserve">el cooperativismo, </w:t>
      </w:r>
      <w:r w:rsidR="00395372" w:rsidRPr="00A22A56">
        <w:rPr>
          <w:rFonts w:ascii="Arial" w:hAnsi="Arial" w:cs="Arial"/>
          <w:sz w:val="24"/>
          <w:szCs w:val="24"/>
          <w:lang w:val="es-PR"/>
        </w:rPr>
        <w:t>con el fin de que sean más ágiles y efectivos (FIDECOOP y COSSEC).</w:t>
      </w:r>
    </w:p>
    <w:p w:rsidR="00395372" w:rsidRPr="00A22A56" w:rsidRDefault="00840CF7"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Derogó la Ley Núm. 89 del 21 de junio de 1966, según enmendada, Ley que creó la Administración de Fomento Cooperativo y la Oficina del Inspector</w:t>
      </w:r>
      <w:r w:rsidR="008D3027" w:rsidRPr="00A22A56">
        <w:rPr>
          <w:rFonts w:ascii="Arial" w:hAnsi="Arial" w:cs="Arial"/>
          <w:sz w:val="24"/>
          <w:szCs w:val="24"/>
          <w:lang w:val="es-PR"/>
        </w:rPr>
        <w:t xml:space="preserve"> de Cooperativas de Puerto Rico (OICPR).</w:t>
      </w:r>
    </w:p>
    <w:p w:rsidR="00406727" w:rsidRPr="00A22A56" w:rsidRDefault="002236AB"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 xml:space="preserve"> </w:t>
      </w:r>
      <w:r w:rsidR="008D3027" w:rsidRPr="00A22A56">
        <w:rPr>
          <w:rFonts w:ascii="Arial" w:hAnsi="Arial" w:cs="Arial"/>
          <w:sz w:val="24"/>
          <w:szCs w:val="24"/>
          <w:lang w:val="es-PR"/>
        </w:rPr>
        <w:t>Transforma y sust</w:t>
      </w:r>
      <w:r w:rsidR="003540B7" w:rsidRPr="00A22A56">
        <w:rPr>
          <w:rFonts w:ascii="Arial" w:hAnsi="Arial" w:cs="Arial"/>
          <w:sz w:val="24"/>
          <w:szCs w:val="24"/>
          <w:lang w:val="es-PR"/>
        </w:rPr>
        <w:t>ituye a la Administración de Fomento Cooperativo.</w:t>
      </w:r>
    </w:p>
    <w:p w:rsidR="003540B7" w:rsidRPr="00A22A56" w:rsidRDefault="002F290C" w:rsidP="00406727">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Transfiere</w:t>
      </w:r>
      <w:r w:rsidR="003540B7" w:rsidRPr="00A22A56">
        <w:rPr>
          <w:rFonts w:ascii="Arial" w:hAnsi="Arial" w:cs="Arial"/>
          <w:sz w:val="24"/>
          <w:szCs w:val="24"/>
          <w:lang w:val="es-PR"/>
        </w:rPr>
        <w:t xml:space="preserve"> a COSSEC las funciones y poderes de</w:t>
      </w:r>
      <w:r w:rsidR="008272D2" w:rsidRPr="00A22A56">
        <w:rPr>
          <w:rFonts w:ascii="Arial" w:hAnsi="Arial" w:cs="Arial"/>
          <w:sz w:val="24"/>
          <w:szCs w:val="24"/>
          <w:lang w:val="es-PR"/>
        </w:rPr>
        <w:t xml:space="preserve">l Inspector de Cooperativas, </w:t>
      </w:r>
      <w:r w:rsidR="003540B7" w:rsidRPr="00A22A56">
        <w:rPr>
          <w:rFonts w:ascii="Arial" w:hAnsi="Arial" w:cs="Arial"/>
          <w:sz w:val="24"/>
          <w:szCs w:val="24"/>
          <w:lang w:val="es-PR"/>
        </w:rPr>
        <w:t>relativas a las funciones de fiscalización, supervisión y liquidación de entidades cooperativas.</w:t>
      </w:r>
    </w:p>
    <w:p w:rsidR="008D7A60" w:rsidRPr="00A22A56" w:rsidRDefault="002F290C" w:rsidP="008358B6">
      <w:pPr>
        <w:pStyle w:val="ListParagraph"/>
        <w:numPr>
          <w:ilvl w:val="0"/>
          <w:numId w:val="3"/>
        </w:numPr>
        <w:jc w:val="both"/>
        <w:rPr>
          <w:rFonts w:ascii="Arial" w:hAnsi="Arial" w:cs="Arial"/>
          <w:sz w:val="24"/>
          <w:szCs w:val="24"/>
          <w:lang w:val="es-PR"/>
        </w:rPr>
      </w:pPr>
      <w:r w:rsidRPr="00A22A56">
        <w:rPr>
          <w:rFonts w:ascii="Arial" w:hAnsi="Arial" w:cs="Arial"/>
          <w:sz w:val="24"/>
          <w:szCs w:val="24"/>
          <w:lang w:val="es-PR"/>
        </w:rPr>
        <w:t>Traslada</w:t>
      </w:r>
      <w:r w:rsidR="003540B7" w:rsidRPr="00A22A56">
        <w:rPr>
          <w:rFonts w:ascii="Arial" w:hAnsi="Arial" w:cs="Arial"/>
          <w:sz w:val="24"/>
          <w:szCs w:val="24"/>
          <w:lang w:val="es-PR"/>
        </w:rPr>
        <w:t xml:space="preserve"> a COSSEC las funciones de la derogada OCIPR, así como a su personal de carrera.</w:t>
      </w:r>
    </w:p>
    <w:p w:rsidR="008358B6" w:rsidRPr="00A22A56" w:rsidRDefault="008358B6" w:rsidP="008358B6">
      <w:pPr>
        <w:jc w:val="both"/>
        <w:rPr>
          <w:rFonts w:ascii="Arial" w:hAnsi="Arial" w:cs="Arial"/>
          <w:sz w:val="24"/>
          <w:szCs w:val="24"/>
          <w:lang w:val="es-PR"/>
        </w:rPr>
      </w:pPr>
      <w:r w:rsidRPr="00A22A56">
        <w:rPr>
          <w:rFonts w:ascii="Arial" w:hAnsi="Arial" w:cs="Arial"/>
          <w:sz w:val="24"/>
          <w:szCs w:val="24"/>
          <w:lang w:val="es-PR"/>
        </w:rPr>
        <w:t xml:space="preserve">Bajo la Ley Núm. 247, la COSSEC se constituye como una </w:t>
      </w:r>
      <w:r w:rsidR="00C03363" w:rsidRPr="00A22A56">
        <w:rPr>
          <w:rFonts w:ascii="Arial" w:hAnsi="Arial" w:cs="Arial"/>
          <w:sz w:val="24"/>
          <w:szCs w:val="24"/>
          <w:lang w:val="es-PR"/>
        </w:rPr>
        <w:t xml:space="preserve">corporación pública, </w:t>
      </w:r>
      <w:r w:rsidRPr="00A22A56">
        <w:rPr>
          <w:rFonts w:ascii="Arial" w:hAnsi="Arial" w:cs="Arial"/>
          <w:sz w:val="24"/>
          <w:szCs w:val="24"/>
          <w:lang w:val="es-PR"/>
        </w:rPr>
        <w:t>adscrita a la Comisión de Desarrollo Cooperativo.</w:t>
      </w:r>
    </w:p>
    <w:p w:rsidR="00481D71" w:rsidRDefault="00481D71" w:rsidP="008358B6">
      <w:pPr>
        <w:jc w:val="both"/>
        <w:rPr>
          <w:rFonts w:ascii="Arial" w:hAnsi="Arial" w:cs="Arial"/>
          <w:b/>
          <w:sz w:val="24"/>
          <w:szCs w:val="24"/>
          <w:u w:val="single"/>
          <w:lang w:val="es-PR"/>
        </w:rPr>
      </w:pPr>
    </w:p>
    <w:p w:rsidR="008358B6" w:rsidRPr="00A22A56" w:rsidRDefault="008358B6" w:rsidP="008358B6">
      <w:pPr>
        <w:jc w:val="both"/>
        <w:rPr>
          <w:rFonts w:ascii="Arial" w:hAnsi="Arial" w:cs="Arial"/>
          <w:b/>
          <w:sz w:val="24"/>
          <w:szCs w:val="24"/>
          <w:u w:val="single"/>
          <w:lang w:val="es-PR"/>
        </w:rPr>
      </w:pPr>
      <w:r w:rsidRPr="00A22A56">
        <w:rPr>
          <w:rFonts w:ascii="Arial" w:hAnsi="Arial" w:cs="Arial"/>
          <w:b/>
          <w:sz w:val="24"/>
          <w:szCs w:val="24"/>
          <w:u w:val="single"/>
          <w:lang w:val="es-PR"/>
        </w:rPr>
        <w:lastRenderedPageBreak/>
        <w:t>Estructura Organizacional:</w:t>
      </w:r>
    </w:p>
    <w:p w:rsidR="008358B6" w:rsidRPr="00A22A56" w:rsidRDefault="008358B6" w:rsidP="008358B6">
      <w:pPr>
        <w:jc w:val="both"/>
        <w:rPr>
          <w:rFonts w:ascii="Arial" w:hAnsi="Arial" w:cs="Arial"/>
          <w:sz w:val="24"/>
          <w:szCs w:val="24"/>
          <w:lang w:val="es-PR"/>
        </w:rPr>
      </w:pPr>
      <w:r w:rsidRPr="00A22A56">
        <w:rPr>
          <w:rFonts w:ascii="Arial" w:hAnsi="Arial" w:cs="Arial"/>
          <w:sz w:val="24"/>
          <w:szCs w:val="24"/>
          <w:lang w:val="es-PR"/>
        </w:rPr>
        <w:t>Conforme a las disposiciones de la Ley Núm. 114, según enmendada</w:t>
      </w:r>
      <w:r w:rsidR="001C1D18" w:rsidRPr="00A22A56">
        <w:rPr>
          <w:rFonts w:ascii="Arial" w:hAnsi="Arial" w:cs="Arial"/>
          <w:sz w:val="24"/>
          <w:szCs w:val="24"/>
          <w:lang w:val="es-PR"/>
        </w:rPr>
        <w:t>,</w:t>
      </w:r>
      <w:r w:rsidRPr="00A22A56">
        <w:rPr>
          <w:rFonts w:ascii="Arial" w:hAnsi="Arial" w:cs="Arial"/>
          <w:sz w:val="24"/>
          <w:szCs w:val="24"/>
          <w:lang w:val="es-PR"/>
        </w:rPr>
        <w:t xml:space="preserve"> y de las funciones de fiscalización y seguro que lleva a cabo la Corporación, la estructura operacional </w:t>
      </w:r>
      <w:r w:rsidR="001C1D18" w:rsidRPr="00A22A56">
        <w:rPr>
          <w:rFonts w:ascii="Arial" w:hAnsi="Arial" w:cs="Arial"/>
          <w:sz w:val="24"/>
          <w:szCs w:val="24"/>
          <w:lang w:val="es-PR"/>
        </w:rPr>
        <w:t>dispone de la siguiente manera:</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Junta de Directores</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Auditoria Interna</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Oficina de</w:t>
      </w:r>
      <w:r w:rsidR="001C1D18" w:rsidRPr="00A22A56">
        <w:rPr>
          <w:rFonts w:ascii="Arial" w:hAnsi="Arial" w:cs="Arial"/>
          <w:sz w:val="24"/>
          <w:szCs w:val="24"/>
          <w:lang w:val="es-PR"/>
        </w:rPr>
        <w:t>l</w:t>
      </w:r>
      <w:r w:rsidRPr="00A22A56">
        <w:rPr>
          <w:rFonts w:ascii="Arial" w:hAnsi="Arial" w:cs="Arial"/>
          <w:sz w:val="24"/>
          <w:szCs w:val="24"/>
          <w:lang w:val="es-PR"/>
        </w:rPr>
        <w:t xml:space="preserve"> Presidente Ejecutivo</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Oficina de</w:t>
      </w:r>
      <w:r w:rsidR="001C1D18" w:rsidRPr="00A22A56">
        <w:rPr>
          <w:rFonts w:ascii="Arial" w:hAnsi="Arial" w:cs="Arial"/>
          <w:sz w:val="24"/>
          <w:szCs w:val="24"/>
          <w:lang w:val="es-PR"/>
        </w:rPr>
        <w:t>l</w:t>
      </w:r>
      <w:r w:rsidRPr="00A22A56">
        <w:rPr>
          <w:rFonts w:ascii="Arial" w:hAnsi="Arial" w:cs="Arial"/>
          <w:sz w:val="24"/>
          <w:szCs w:val="24"/>
          <w:lang w:val="es-PR"/>
        </w:rPr>
        <w:t xml:space="preserve"> Vicepresidente Ejecutivo</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Legal</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de Administración</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de Finanzas</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de Tecnología de Información</w:t>
      </w:r>
    </w:p>
    <w:p w:rsidR="008358B6" w:rsidRPr="00A22A56" w:rsidRDefault="008358B6"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de Recursos Humanos</w:t>
      </w:r>
    </w:p>
    <w:p w:rsidR="004A607A" w:rsidRPr="00A22A56" w:rsidRDefault="004A607A" w:rsidP="008358B6">
      <w:pPr>
        <w:pStyle w:val="ListParagraph"/>
        <w:numPr>
          <w:ilvl w:val="0"/>
          <w:numId w:val="4"/>
        </w:numPr>
        <w:jc w:val="both"/>
        <w:rPr>
          <w:rFonts w:ascii="Arial" w:hAnsi="Arial" w:cs="Arial"/>
          <w:sz w:val="24"/>
          <w:szCs w:val="24"/>
          <w:lang w:val="es-PR"/>
        </w:rPr>
      </w:pPr>
      <w:r w:rsidRPr="00A22A56">
        <w:rPr>
          <w:rFonts w:ascii="Arial" w:hAnsi="Arial" w:cs="Arial"/>
          <w:sz w:val="24"/>
          <w:szCs w:val="24"/>
          <w:lang w:val="es-PR"/>
        </w:rPr>
        <w:t>División de Apoyo Técnico y Supervisión</w:t>
      </w:r>
    </w:p>
    <w:p w:rsidR="004A607A" w:rsidRPr="00A22A56" w:rsidRDefault="004A607A" w:rsidP="004A607A">
      <w:pPr>
        <w:jc w:val="both"/>
        <w:rPr>
          <w:rFonts w:ascii="Arial" w:hAnsi="Arial" w:cs="Arial"/>
          <w:b/>
          <w:sz w:val="24"/>
          <w:szCs w:val="24"/>
          <w:u w:val="single"/>
          <w:lang w:val="es-PR"/>
        </w:rPr>
      </w:pPr>
      <w:r w:rsidRPr="00A22A56">
        <w:rPr>
          <w:rFonts w:ascii="Arial" w:hAnsi="Arial" w:cs="Arial"/>
          <w:b/>
          <w:sz w:val="24"/>
          <w:szCs w:val="24"/>
          <w:u w:val="single"/>
          <w:lang w:val="es-PR"/>
        </w:rPr>
        <w:t>Junta de Directores:</w:t>
      </w:r>
    </w:p>
    <w:p w:rsidR="007B269A" w:rsidRPr="00A22A56" w:rsidRDefault="004A607A" w:rsidP="004A607A">
      <w:pPr>
        <w:jc w:val="both"/>
        <w:rPr>
          <w:rFonts w:ascii="Arial" w:hAnsi="Arial" w:cs="Arial"/>
          <w:sz w:val="24"/>
          <w:szCs w:val="24"/>
          <w:lang w:val="es-PR"/>
        </w:rPr>
      </w:pPr>
      <w:r w:rsidRPr="00A22A56">
        <w:rPr>
          <w:rFonts w:ascii="Arial" w:hAnsi="Arial" w:cs="Arial"/>
          <w:sz w:val="24"/>
          <w:szCs w:val="24"/>
          <w:lang w:val="es-PR"/>
        </w:rPr>
        <w:t xml:space="preserve">El artículo </w:t>
      </w:r>
      <w:r w:rsidR="00A61252" w:rsidRPr="00A22A56">
        <w:rPr>
          <w:rFonts w:ascii="Arial" w:hAnsi="Arial" w:cs="Arial"/>
          <w:sz w:val="24"/>
          <w:szCs w:val="24"/>
          <w:lang w:val="es-PR"/>
        </w:rPr>
        <w:t xml:space="preserve">5 de la Ley Núm. 114, según enmendada, en unión a la Ley Núm. 247, </w:t>
      </w:r>
      <w:r w:rsidR="00745D44" w:rsidRPr="00A22A56">
        <w:rPr>
          <w:rFonts w:ascii="Arial" w:hAnsi="Arial" w:cs="Arial"/>
          <w:sz w:val="24"/>
          <w:szCs w:val="24"/>
          <w:lang w:val="es-PR"/>
        </w:rPr>
        <w:t>instituyen</w:t>
      </w:r>
      <w:r w:rsidR="00A61252" w:rsidRPr="00A22A56">
        <w:rPr>
          <w:rFonts w:ascii="Arial" w:hAnsi="Arial" w:cs="Arial"/>
          <w:sz w:val="24"/>
          <w:szCs w:val="24"/>
          <w:lang w:val="es-PR"/>
        </w:rPr>
        <w:t xml:space="preserve"> que la Corporación será dirigida por una Junta de Directores compuesta por nueve (9) miembros</w:t>
      </w:r>
      <w:r w:rsidR="007B269A" w:rsidRPr="00A22A56">
        <w:rPr>
          <w:rFonts w:ascii="Arial" w:hAnsi="Arial" w:cs="Arial"/>
          <w:sz w:val="24"/>
          <w:szCs w:val="24"/>
          <w:lang w:val="es-PR"/>
        </w:rPr>
        <w:t>.</w:t>
      </w:r>
    </w:p>
    <w:p w:rsidR="00A61252" w:rsidRPr="00A22A56" w:rsidRDefault="007B269A" w:rsidP="004A607A">
      <w:pPr>
        <w:jc w:val="both"/>
        <w:rPr>
          <w:rFonts w:ascii="Arial" w:hAnsi="Arial" w:cs="Arial"/>
          <w:b/>
          <w:sz w:val="24"/>
          <w:szCs w:val="24"/>
          <w:lang w:val="es-PR"/>
        </w:rPr>
      </w:pPr>
      <w:r w:rsidRPr="00A22A56">
        <w:rPr>
          <w:rFonts w:ascii="Arial" w:hAnsi="Arial" w:cs="Arial"/>
          <w:b/>
          <w:sz w:val="24"/>
          <w:szCs w:val="24"/>
          <w:lang w:val="es-PR"/>
        </w:rPr>
        <w:t>Desglose</w:t>
      </w:r>
      <w:r w:rsidR="00A61252" w:rsidRPr="00A22A56">
        <w:rPr>
          <w:rFonts w:ascii="Arial" w:hAnsi="Arial" w:cs="Arial"/>
          <w:b/>
          <w:sz w:val="24"/>
          <w:szCs w:val="24"/>
          <w:lang w:val="es-PR"/>
        </w:rPr>
        <w:t>:</w:t>
      </w:r>
    </w:p>
    <w:p w:rsidR="004A607A" w:rsidRPr="00A22A56" w:rsidRDefault="00A61252"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Comisionado de Desarrollo Cooperativo de Puerto Rico</w:t>
      </w:r>
    </w:p>
    <w:p w:rsidR="00A61252" w:rsidRPr="00A22A56" w:rsidRDefault="00A61252"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Comisionado de Instituciones Financieras</w:t>
      </w:r>
    </w:p>
    <w:p w:rsidR="00A61252" w:rsidRPr="00A22A56" w:rsidRDefault="00EE4361"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 xml:space="preserve">Representante del </w:t>
      </w:r>
      <w:r w:rsidR="00A61252" w:rsidRPr="00A22A56">
        <w:rPr>
          <w:rFonts w:ascii="Arial" w:hAnsi="Arial" w:cs="Arial"/>
          <w:sz w:val="24"/>
          <w:szCs w:val="24"/>
          <w:lang w:val="es-PR"/>
        </w:rPr>
        <w:t>Secretario Departamento de Hacienda</w:t>
      </w:r>
    </w:p>
    <w:p w:rsidR="00A61252" w:rsidRPr="00A22A56" w:rsidRDefault="00A61252"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 xml:space="preserve">Representante del </w:t>
      </w:r>
      <w:r w:rsidR="00EE4361" w:rsidRPr="00A22A56">
        <w:rPr>
          <w:rFonts w:ascii="Arial" w:hAnsi="Arial" w:cs="Arial"/>
          <w:sz w:val="24"/>
          <w:szCs w:val="24"/>
          <w:lang w:val="es-PR"/>
        </w:rPr>
        <w:t xml:space="preserve">Presidente del </w:t>
      </w:r>
      <w:r w:rsidRPr="00A22A56">
        <w:rPr>
          <w:rFonts w:ascii="Arial" w:hAnsi="Arial" w:cs="Arial"/>
          <w:sz w:val="24"/>
          <w:szCs w:val="24"/>
          <w:lang w:val="es-PR"/>
        </w:rPr>
        <w:t>Banco Gubernamental de Fomento</w:t>
      </w:r>
    </w:p>
    <w:p w:rsidR="000D0343" w:rsidRPr="00A22A56" w:rsidRDefault="000D0343"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Un presidente de Junta de Directores de las cooperativas aseguradas</w:t>
      </w:r>
    </w:p>
    <w:p w:rsidR="00A61252" w:rsidRPr="00A22A56" w:rsidRDefault="00A61252"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 xml:space="preserve">Dos </w:t>
      </w:r>
      <w:r w:rsidR="007B269A" w:rsidRPr="00A22A56">
        <w:rPr>
          <w:rFonts w:ascii="Arial" w:hAnsi="Arial" w:cs="Arial"/>
          <w:sz w:val="24"/>
          <w:szCs w:val="24"/>
          <w:lang w:val="es-PR"/>
        </w:rPr>
        <w:t xml:space="preserve">(2) </w:t>
      </w:r>
      <w:r w:rsidRPr="00A22A56">
        <w:rPr>
          <w:rFonts w:ascii="Arial" w:hAnsi="Arial" w:cs="Arial"/>
          <w:sz w:val="24"/>
          <w:szCs w:val="24"/>
          <w:lang w:val="es-PR"/>
        </w:rPr>
        <w:t>personas que sean principal funcionario de las cooperativ</w:t>
      </w:r>
      <w:r w:rsidR="00EE4361" w:rsidRPr="00A22A56">
        <w:rPr>
          <w:rFonts w:ascii="Arial" w:hAnsi="Arial" w:cs="Arial"/>
          <w:sz w:val="24"/>
          <w:szCs w:val="24"/>
          <w:lang w:val="es-PR"/>
        </w:rPr>
        <w:t xml:space="preserve">as aseguradas </w:t>
      </w:r>
    </w:p>
    <w:p w:rsidR="00A61252" w:rsidRPr="00A22A56" w:rsidRDefault="00147C38"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 xml:space="preserve">Un </w:t>
      </w:r>
      <w:r w:rsidR="007B269A" w:rsidRPr="00A22A56">
        <w:rPr>
          <w:rFonts w:ascii="Arial" w:hAnsi="Arial" w:cs="Arial"/>
          <w:sz w:val="24"/>
          <w:szCs w:val="24"/>
          <w:lang w:val="es-PR"/>
        </w:rPr>
        <w:t xml:space="preserve">(1) </w:t>
      </w:r>
      <w:r w:rsidRPr="00A22A56">
        <w:rPr>
          <w:rFonts w:ascii="Arial" w:hAnsi="Arial" w:cs="Arial"/>
          <w:sz w:val="24"/>
          <w:szCs w:val="24"/>
          <w:lang w:val="es-PR"/>
        </w:rPr>
        <w:t>miembro de la Liga de Cooperativas</w:t>
      </w:r>
    </w:p>
    <w:p w:rsidR="00147C38" w:rsidRPr="00A22A56" w:rsidRDefault="00147C38" w:rsidP="00A61252">
      <w:pPr>
        <w:pStyle w:val="ListParagraph"/>
        <w:numPr>
          <w:ilvl w:val="0"/>
          <w:numId w:val="5"/>
        </w:numPr>
        <w:jc w:val="both"/>
        <w:rPr>
          <w:rFonts w:ascii="Arial" w:hAnsi="Arial" w:cs="Arial"/>
          <w:sz w:val="24"/>
          <w:szCs w:val="24"/>
          <w:lang w:val="es-PR"/>
        </w:rPr>
      </w:pPr>
      <w:r w:rsidRPr="00A22A56">
        <w:rPr>
          <w:rFonts w:ascii="Arial" w:hAnsi="Arial" w:cs="Arial"/>
          <w:sz w:val="24"/>
          <w:szCs w:val="24"/>
          <w:lang w:val="es-PR"/>
        </w:rPr>
        <w:t xml:space="preserve">Un </w:t>
      </w:r>
      <w:r w:rsidR="007B269A" w:rsidRPr="00A22A56">
        <w:rPr>
          <w:rFonts w:ascii="Arial" w:hAnsi="Arial" w:cs="Arial"/>
          <w:sz w:val="24"/>
          <w:szCs w:val="24"/>
          <w:lang w:val="es-PR"/>
        </w:rPr>
        <w:t xml:space="preserve">(1) </w:t>
      </w:r>
      <w:r w:rsidRPr="00A22A56">
        <w:rPr>
          <w:rFonts w:ascii="Arial" w:hAnsi="Arial" w:cs="Arial"/>
          <w:sz w:val="24"/>
          <w:szCs w:val="24"/>
          <w:lang w:val="es-PR"/>
        </w:rPr>
        <w:t>representante de interés público</w:t>
      </w:r>
    </w:p>
    <w:p w:rsidR="008358B6" w:rsidRPr="00A22A56" w:rsidRDefault="00BA3A80" w:rsidP="008358B6">
      <w:pPr>
        <w:jc w:val="both"/>
        <w:rPr>
          <w:rFonts w:ascii="Arial" w:hAnsi="Arial" w:cs="Arial"/>
          <w:b/>
          <w:sz w:val="24"/>
          <w:szCs w:val="24"/>
          <w:u w:val="single"/>
          <w:lang w:val="es-PR"/>
        </w:rPr>
      </w:pPr>
      <w:r w:rsidRPr="00A22A56">
        <w:rPr>
          <w:rFonts w:ascii="Arial" w:hAnsi="Arial" w:cs="Arial"/>
          <w:b/>
          <w:sz w:val="24"/>
          <w:szCs w:val="24"/>
          <w:u w:val="single"/>
          <w:lang w:val="es-PR"/>
        </w:rPr>
        <w:t>Recurso Humano</w:t>
      </w:r>
    </w:p>
    <w:p w:rsidR="008A493B" w:rsidRPr="00A22A56" w:rsidRDefault="00BA3A80" w:rsidP="00420427">
      <w:pPr>
        <w:jc w:val="both"/>
        <w:rPr>
          <w:rFonts w:ascii="Arial" w:hAnsi="Arial" w:cs="Arial"/>
          <w:sz w:val="24"/>
          <w:szCs w:val="24"/>
          <w:lang w:val="es-PR"/>
        </w:rPr>
      </w:pPr>
      <w:r w:rsidRPr="00A22A56">
        <w:rPr>
          <w:rFonts w:ascii="Arial" w:hAnsi="Arial" w:cs="Arial"/>
          <w:sz w:val="24"/>
          <w:szCs w:val="24"/>
          <w:lang w:val="es-PR"/>
        </w:rPr>
        <w:t xml:space="preserve">La Corporación cuenta con dos </w:t>
      </w:r>
      <w:r w:rsidR="008F48B7" w:rsidRPr="00A22A56">
        <w:rPr>
          <w:rFonts w:ascii="Arial" w:hAnsi="Arial" w:cs="Arial"/>
          <w:sz w:val="24"/>
          <w:szCs w:val="24"/>
          <w:lang w:val="es-PR"/>
        </w:rPr>
        <w:t xml:space="preserve">categorías </w:t>
      </w:r>
      <w:r w:rsidR="00EB6FC5" w:rsidRPr="00A22A56">
        <w:rPr>
          <w:rFonts w:ascii="Arial" w:hAnsi="Arial" w:cs="Arial"/>
          <w:sz w:val="24"/>
          <w:szCs w:val="24"/>
          <w:lang w:val="es-PR"/>
        </w:rPr>
        <w:t>de emp</w:t>
      </w:r>
      <w:r w:rsidR="00A00386" w:rsidRPr="00A22A56">
        <w:rPr>
          <w:rFonts w:ascii="Arial" w:hAnsi="Arial" w:cs="Arial"/>
          <w:sz w:val="24"/>
          <w:szCs w:val="24"/>
          <w:lang w:val="es-PR"/>
        </w:rPr>
        <w:t>leados</w:t>
      </w:r>
      <w:r w:rsidR="00EB6FC5" w:rsidRPr="00A22A56">
        <w:rPr>
          <w:rFonts w:ascii="Arial" w:hAnsi="Arial" w:cs="Arial"/>
          <w:sz w:val="24"/>
          <w:szCs w:val="24"/>
          <w:lang w:val="es-PR"/>
        </w:rPr>
        <w:t xml:space="preserve">; carrera y confianza. </w:t>
      </w:r>
      <w:r w:rsidR="00420427" w:rsidRPr="00A22A56">
        <w:rPr>
          <w:rFonts w:ascii="Arial" w:hAnsi="Arial" w:cs="Arial"/>
          <w:sz w:val="24"/>
          <w:szCs w:val="24"/>
          <w:lang w:val="es-PR"/>
        </w:rPr>
        <w:t xml:space="preserve"> </w:t>
      </w:r>
      <w:r w:rsidR="00EB6FC5" w:rsidRPr="00A22A56">
        <w:rPr>
          <w:rFonts w:ascii="Arial" w:hAnsi="Arial" w:cs="Arial"/>
          <w:sz w:val="24"/>
          <w:szCs w:val="24"/>
          <w:lang w:val="es-PR"/>
        </w:rPr>
        <w:t xml:space="preserve">Al </w:t>
      </w:r>
      <w:r w:rsidR="006D1E15" w:rsidRPr="00A22A56">
        <w:rPr>
          <w:rFonts w:ascii="Arial" w:hAnsi="Arial" w:cs="Arial"/>
          <w:sz w:val="24"/>
          <w:szCs w:val="24"/>
          <w:lang w:val="es-PR"/>
        </w:rPr>
        <w:t>8 de septiembre de 2016, c</w:t>
      </w:r>
      <w:r w:rsidR="00EB6FC5" w:rsidRPr="00A22A56">
        <w:rPr>
          <w:rFonts w:ascii="Arial" w:hAnsi="Arial" w:cs="Arial"/>
          <w:sz w:val="24"/>
          <w:szCs w:val="24"/>
          <w:lang w:val="es-PR"/>
        </w:rPr>
        <w:t xml:space="preserve">ontábamos con </w:t>
      </w:r>
      <w:r w:rsidR="001F0C59" w:rsidRPr="00A22A56">
        <w:rPr>
          <w:rFonts w:ascii="Arial" w:hAnsi="Arial" w:cs="Arial"/>
          <w:sz w:val="24"/>
          <w:szCs w:val="24"/>
          <w:lang w:val="es-PR"/>
        </w:rPr>
        <w:t>10</w:t>
      </w:r>
      <w:r w:rsidR="00BC694D" w:rsidRPr="00A22A56">
        <w:rPr>
          <w:rFonts w:ascii="Arial" w:hAnsi="Arial" w:cs="Arial"/>
          <w:sz w:val="24"/>
          <w:szCs w:val="24"/>
          <w:lang w:val="es-PR"/>
        </w:rPr>
        <w:t>6</w:t>
      </w:r>
      <w:r w:rsidR="001F0C59" w:rsidRPr="00A22A56">
        <w:rPr>
          <w:rFonts w:ascii="Arial" w:hAnsi="Arial" w:cs="Arial"/>
          <w:sz w:val="24"/>
          <w:szCs w:val="24"/>
          <w:lang w:val="es-PR"/>
        </w:rPr>
        <w:t xml:space="preserve"> </w:t>
      </w:r>
      <w:r w:rsidR="00EB6FC5" w:rsidRPr="00A22A56">
        <w:rPr>
          <w:rFonts w:ascii="Arial" w:hAnsi="Arial" w:cs="Arial"/>
          <w:sz w:val="24"/>
          <w:szCs w:val="24"/>
          <w:lang w:val="es-PR"/>
        </w:rPr>
        <w:t xml:space="preserve">empleados. A </w:t>
      </w:r>
      <w:r w:rsidR="00420427" w:rsidRPr="00A22A56">
        <w:rPr>
          <w:rFonts w:ascii="Arial" w:hAnsi="Arial" w:cs="Arial"/>
          <w:sz w:val="24"/>
          <w:szCs w:val="24"/>
          <w:lang w:val="es-PR"/>
        </w:rPr>
        <w:t>continuación,</w:t>
      </w:r>
      <w:r w:rsidR="00EB6FC5" w:rsidRPr="00A22A56">
        <w:rPr>
          <w:rFonts w:ascii="Arial" w:hAnsi="Arial" w:cs="Arial"/>
          <w:sz w:val="24"/>
          <w:szCs w:val="24"/>
          <w:lang w:val="es-PR"/>
        </w:rPr>
        <w:t xml:space="preserve"> el detalle:</w:t>
      </w:r>
    </w:p>
    <w:p w:rsidR="00EB6FC5" w:rsidRPr="00A22A56" w:rsidRDefault="00EB6FC5" w:rsidP="00EB6FC5">
      <w:pPr>
        <w:ind w:firstLine="720"/>
        <w:jc w:val="both"/>
        <w:rPr>
          <w:rFonts w:ascii="Arial" w:hAnsi="Arial" w:cs="Arial"/>
          <w:sz w:val="24"/>
          <w:szCs w:val="24"/>
          <w:lang w:val="es-PR"/>
        </w:rPr>
      </w:pPr>
      <w:r w:rsidRPr="00A22A56">
        <w:rPr>
          <w:rFonts w:ascii="Arial" w:hAnsi="Arial" w:cs="Arial"/>
          <w:b/>
          <w:sz w:val="24"/>
          <w:szCs w:val="24"/>
          <w:lang w:val="es-PR"/>
        </w:rPr>
        <w:t>Categoría</w:t>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sz w:val="24"/>
          <w:szCs w:val="24"/>
          <w:lang w:val="es-PR"/>
        </w:rPr>
        <w:tab/>
      </w:r>
      <w:r w:rsidRPr="00A22A56">
        <w:rPr>
          <w:rFonts w:ascii="Arial" w:hAnsi="Arial" w:cs="Arial"/>
          <w:b/>
          <w:sz w:val="24"/>
          <w:szCs w:val="24"/>
          <w:lang w:val="es-PR"/>
        </w:rPr>
        <w:t>Cantidad</w:t>
      </w:r>
    </w:p>
    <w:tbl>
      <w:tblPr>
        <w:tblStyle w:val="TableGrid"/>
        <w:tblW w:w="0" w:type="auto"/>
        <w:tblLook w:val="04A0" w:firstRow="1" w:lastRow="0" w:firstColumn="1" w:lastColumn="0" w:noHBand="0" w:noVBand="1"/>
      </w:tblPr>
      <w:tblGrid>
        <w:gridCol w:w="4675"/>
        <w:gridCol w:w="4675"/>
      </w:tblGrid>
      <w:tr w:rsidR="00EB6FC5" w:rsidRPr="00A22A56" w:rsidTr="00EB6FC5">
        <w:tc>
          <w:tcPr>
            <w:tcW w:w="4675" w:type="dxa"/>
          </w:tcPr>
          <w:p w:rsidR="00EB6FC5" w:rsidRPr="00A22A56" w:rsidRDefault="00EB6FC5" w:rsidP="008358B6">
            <w:pPr>
              <w:jc w:val="both"/>
              <w:rPr>
                <w:rFonts w:ascii="Arial" w:hAnsi="Arial" w:cs="Arial"/>
                <w:sz w:val="24"/>
                <w:szCs w:val="24"/>
                <w:lang w:val="es-PR"/>
              </w:rPr>
            </w:pPr>
          </w:p>
          <w:p w:rsidR="00EB6FC5" w:rsidRPr="00A22A56" w:rsidRDefault="00EB6FC5" w:rsidP="008358B6">
            <w:pPr>
              <w:jc w:val="both"/>
              <w:rPr>
                <w:rFonts w:ascii="Arial" w:hAnsi="Arial" w:cs="Arial"/>
                <w:sz w:val="24"/>
                <w:szCs w:val="24"/>
                <w:lang w:val="es-PR"/>
              </w:rPr>
            </w:pPr>
            <w:r w:rsidRPr="00A22A56">
              <w:rPr>
                <w:rFonts w:ascii="Arial" w:hAnsi="Arial" w:cs="Arial"/>
                <w:sz w:val="24"/>
                <w:szCs w:val="24"/>
                <w:lang w:val="es-PR"/>
              </w:rPr>
              <w:t>Carrera</w:t>
            </w:r>
          </w:p>
        </w:tc>
        <w:tc>
          <w:tcPr>
            <w:tcW w:w="4675" w:type="dxa"/>
          </w:tcPr>
          <w:p w:rsidR="00EB6FC5" w:rsidRPr="00A22A56" w:rsidRDefault="00BC694D" w:rsidP="008358B6">
            <w:pPr>
              <w:jc w:val="both"/>
              <w:rPr>
                <w:rFonts w:ascii="Arial" w:hAnsi="Arial" w:cs="Arial"/>
                <w:sz w:val="24"/>
                <w:szCs w:val="24"/>
                <w:highlight w:val="yellow"/>
                <w:lang w:val="es-PR"/>
              </w:rPr>
            </w:pPr>
            <w:r w:rsidRPr="0028537A">
              <w:rPr>
                <w:rFonts w:ascii="Arial" w:hAnsi="Arial" w:cs="Arial"/>
                <w:sz w:val="24"/>
                <w:szCs w:val="24"/>
                <w:lang w:val="es-PR"/>
              </w:rPr>
              <w:t>96</w:t>
            </w:r>
          </w:p>
        </w:tc>
      </w:tr>
      <w:tr w:rsidR="00EB6FC5" w:rsidRPr="00A22A56" w:rsidTr="00EB6FC5">
        <w:tc>
          <w:tcPr>
            <w:tcW w:w="4675" w:type="dxa"/>
          </w:tcPr>
          <w:p w:rsidR="00EB6FC5" w:rsidRPr="00A22A56" w:rsidRDefault="00EB6FC5" w:rsidP="008358B6">
            <w:pPr>
              <w:jc w:val="both"/>
              <w:rPr>
                <w:rFonts w:ascii="Arial" w:hAnsi="Arial" w:cs="Arial"/>
                <w:sz w:val="24"/>
                <w:szCs w:val="24"/>
                <w:lang w:val="es-PR"/>
              </w:rPr>
            </w:pPr>
            <w:r w:rsidRPr="00A22A56">
              <w:rPr>
                <w:rFonts w:ascii="Arial" w:hAnsi="Arial" w:cs="Arial"/>
                <w:sz w:val="24"/>
                <w:szCs w:val="24"/>
                <w:lang w:val="es-PR"/>
              </w:rPr>
              <w:t>Confianza</w:t>
            </w:r>
          </w:p>
        </w:tc>
        <w:tc>
          <w:tcPr>
            <w:tcW w:w="4675" w:type="dxa"/>
          </w:tcPr>
          <w:p w:rsidR="00EB6FC5" w:rsidRPr="00A22A56" w:rsidRDefault="00BC694D" w:rsidP="008358B6">
            <w:pPr>
              <w:jc w:val="both"/>
              <w:rPr>
                <w:rFonts w:ascii="Arial" w:hAnsi="Arial" w:cs="Arial"/>
                <w:sz w:val="24"/>
                <w:szCs w:val="24"/>
                <w:highlight w:val="yellow"/>
                <w:lang w:val="es-PR"/>
              </w:rPr>
            </w:pPr>
            <w:r w:rsidRPr="0028537A">
              <w:rPr>
                <w:rFonts w:ascii="Arial" w:hAnsi="Arial" w:cs="Arial"/>
                <w:sz w:val="24"/>
                <w:szCs w:val="24"/>
                <w:lang w:val="es-PR"/>
              </w:rPr>
              <w:t>9</w:t>
            </w:r>
          </w:p>
        </w:tc>
      </w:tr>
      <w:tr w:rsidR="00EB6FC5" w:rsidRPr="00A22A56" w:rsidTr="00EB6FC5">
        <w:tc>
          <w:tcPr>
            <w:tcW w:w="4675" w:type="dxa"/>
          </w:tcPr>
          <w:p w:rsidR="00EB6FC5" w:rsidRPr="00A22A56" w:rsidRDefault="00EB6FC5" w:rsidP="008358B6">
            <w:pPr>
              <w:jc w:val="both"/>
              <w:rPr>
                <w:rFonts w:ascii="Arial" w:hAnsi="Arial" w:cs="Arial"/>
                <w:sz w:val="24"/>
                <w:szCs w:val="24"/>
                <w:lang w:val="es-PR"/>
              </w:rPr>
            </w:pPr>
            <w:r w:rsidRPr="00A22A56">
              <w:rPr>
                <w:rFonts w:ascii="Arial" w:hAnsi="Arial" w:cs="Arial"/>
                <w:sz w:val="24"/>
                <w:szCs w:val="24"/>
                <w:lang w:val="es-PR"/>
              </w:rPr>
              <w:t>Presidente Ejecutivo</w:t>
            </w:r>
          </w:p>
        </w:tc>
        <w:tc>
          <w:tcPr>
            <w:tcW w:w="4675" w:type="dxa"/>
          </w:tcPr>
          <w:p w:rsidR="00EB6FC5" w:rsidRPr="00A22A56" w:rsidRDefault="008449E4" w:rsidP="008358B6">
            <w:pPr>
              <w:jc w:val="both"/>
              <w:rPr>
                <w:rFonts w:ascii="Arial" w:hAnsi="Arial" w:cs="Arial"/>
                <w:sz w:val="24"/>
                <w:szCs w:val="24"/>
                <w:highlight w:val="yellow"/>
                <w:lang w:val="es-PR"/>
              </w:rPr>
            </w:pPr>
            <w:r w:rsidRPr="00A22A56">
              <w:rPr>
                <w:rFonts w:ascii="Arial" w:hAnsi="Arial" w:cs="Arial"/>
                <w:sz w:val="24"/>
                <w:szCs w:val="24"/>
                <w:lang w:val="es-PR"/>
              </w:rPr>
              <w:t>1</w:t>
            </w:r>
          </w:p>
        </w:tc>
      </w:tr>
      <w:tr w:rsidR="00EB6FC5" w:rsidRPr="00A22A56" w:rsidTr="00EB6FC5">
        <w:tc>
          <w:tcPr>
            <w:tcW w:w="4675" w:type="dxa"/>
          </w:tcPr>
          <w:p w:rsidR="00EB6FC5" w:rsidRPr="00A22A56" w:rsidRDefault="00EB6FC5" w:rsidP="008358B6">
            <w:pPr>
              <w:jc w:val="both"/>
              <w:rPr>
                <w:rFonts w:ascii="Arial" w:hAnsi="Arial" w:cs="Arial"/>
                <w:sz w:val="24"/>
                <w:szCs w:val="24"/>
                <w:lang w:val="es-PR"/>
              </w:rPr>
            </w:pPr>
            <w:r w:rsidRPr="00A22A56">
              <w:rPr>
                <w:rFonts w:ascii="Arial" w:hAnsi="Arial" w:cs="Arial"/>
                <w:sz w:val="24"/>
                <w:szCs w:val="24"/>
                <w:lang w:val="es-PR"/>
              </w:rPr>
              <w:t>Total</w:t>
            </w:r>
          </w:p>
        </w:tc>
        <w:tc>
          <w:tcPr>
            <w:tcW w:w="4675" w:type="dxa"/>
          </w:tcPr>
          <w:p w:rsidR="00EB6FC5" w:rsidRPr="00A22A56" w:rsidRDefault="00BC694D" w:rsidP="008358B6">
            <w:pPr>
              <w:jc w:val="both"/>
              <w:rPr>
                <w:rFonts w:ascii="Arial" w:hAnsi="Arial" w:cs="Arial"/>
                <w:sz w:val="24"/>
                <w:szCs w:val="24"/>
                <w:highlight w:val="yellow"/>
                <w:lang w:val="es-PR"/>
              </w:rPr>
            </w:pPr>
            <w:r w:rsidRPr="0028537A">
              <w:rPr>
                <w:rFonts w:ascii="Arial" w:hAnsi="Arial" w:cs="Arial"/>
                <w:sz w:val="24"/>
                <w:szCs w:val="24"/>
                <w:lang w:val="es-PR"/>
              </w:rPr>
              <w:t>106</w:t>
            </w:r>
          </w:p>
        </w:tc>
      </w:tr>
    </w:tbl>
    <w:p w:rsidR="000E2A3B" w:rsidRPr="00A22A56" w:rsidRDefault="000E2A3B" w:rsidP="008358B6">
      <w:pPr>
        <w:jc w:val="both"/>
        <w:rPr>
          <w:rFonts w:ascii="Arial" w:hAnsi="Arial" w:cs="Arial"/>
          <w:sz w:val="24"/>
          <w:szCs w:val="24"/>
          <w:lang w:val="es-PR"/>
        </w:rPr>
      </w:pPr>
    </w:p>
    <w:p w:rsidR="00EB6FC5" w:rsidRPr="00A22A56" w:rsidRDefault="00EB6FC5" w:rsidP="008358B6">
      <w:pPr>
        <w:jc w:val="both"/>
        <w:rPr>
          <w:rFonts w:ascii="Arial" w:hAnsi="Arial" w:cs="Arial"/>
          <w:sz w:val="24"/>
          <w:szCs w:val="24"/>
          <w:lang w:val="es-PR"/>
        </w:rPr>
      </w:pPr>
    </w:p>
    <w:p w:rsidR="0028537A" w:rsidRDefault="0028537A" w:rsidP="008358B6">
      <w:pPr>
        <w:jc w:val="both"/>
        <w:rPr>
          <w:rFonts w:ascii="Arial" w:hAnsi="Arial" w:cs="Arial"/>
          <w:b/>
          <w:sz w:val="24"/>
          <w:szCs w:val="24"/>
          <w:u w:val="single"/>
          <w:lang w:val="es-PR"/>
        </w:rPr>
      </w:pPr>
    </w:p>
    <w:p w:rsidR="0028537A" w:rsidRDefault="0028537A" w:rsidP="008358B6">
      <w:pPr>
        <w:jc w:val="both"/>
        <w:rPr>
          <w:rFonts w:ascii="Arial" w:hAnsi="Arial" w:cs="Arial"/>
          <w:b/>
          <w:sz w:val="24"/>
          <w:szCs w:val="24"/>
          <w:u w:val="single"/>
          <w:lang w:val="es-PR"/>
        </w:rPr>
      </w:pPr>
    </w:p>
    <w:p w:rsidR="0028537A" w:rsidRDefault="0028537A" w:rsidP="008358B6">
      <w:pPr>
        <w:jc w:val="both"/>
        <w:rPr>
          <w:rFonts w:ascii="Arial" w:hAnsi="Arial" w:cs="Arial"/>
          <w:b/>
          <w:sz w:val="24"/>
          <w:szCs w:val="24"/>
          <w:u w:val="single"/>
          <w:lang w:val="es-PR"/>
        </w:rPr>
      </w:pPr>
    </w:p>
    <w:p w:rsidR="000B4306" w:rsidRPr="000B4306" w:rsidRDefault="000B4306" w:rsidP="000B4306">
      <w:pPr>
        <w:jc w:val="both"/>
        <w:rPr>
          <w:rFonts w:ascii="Arial" w:hAnsi="Arial" w:cs="Arial"/>
          <w:b/>
          <w:sz w:val="24"/>
          <w:szCs w:val="24"/>
          <w:u w:val="single"/>
          <w:lang w:val="es-PR"/>
        </w:rPr>
      </w:pPr>
      <w:r w:rsidRPr="000B4306">
        <w:rPr>
          <w:rFonts w:ascii="Arial" w:hAnsi="Arial" w:cs="Arial"/>
          <w:b/>
          <w:sz w:val="24"/>
          <w:szCs w:val="24"/>
          <w:u w:val="single"/>
          <w:lang w:val="es-PR"/>
        </w:rPr>
        <w:t>Situación Económica</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Les presentamos el Estado de Situación Económica resumido al 31 de agosto de 2016, igualmente un resumen de nuestras operaciones en los pasados cinco (5) años.</w:t>
      </w:r>
    </w:p>
    <w:bookmarkStart w:id="0" w:name="_MON_1537957521"/>
    <w:bookmarkEnd w:id="0"/>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object w:dxaOrig="8730" w:dyaOrig="9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35pt;height:470.4pt" o:ole="">
            <v:imagedata r:id="rId8" o:title=""/>
          </v:shape>
          <o:OLEObject Type="Embed" ProgID="Excel.Sheet.12" ShapeID="_x0000_i1025" DrawAspect="Content" ObjectID="_1538457256" r:id="rId9"/>
        </w:objec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lastRenderedPageBreak/>
        <w:t>Los datos económicos aquí mostrados revelan que en los pasados cuatro (4) años, los activos totales de la Corporación disfrutaron un incremento de $68 millones (25%).  Por nuestra naturaleza de agencia aseguradora, la mayor parte de nuestro crecimiento se registra en nuestras cuentas de efectivo, inversiones y notas sobrante. Estas partidas reflejan el 32% del crecimiento experimentado en nuestros recursos.</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La mayor parte del crecimiento de la Corporación está sufragado por los pasivos.  Esto ocurre debido a que, para agosto de 2016, la Corporación reconoce el ingreso de prima como una cuenta diferida en la sección de pasivos de la Corporación.  Al 31 de agosto de 2016, el balance de esta cuenta es $19.5 millones, la cual mientras transcurre el año la misma disminuye se amortiza como ingresos hasta llegar a $0.00 al finalizar el año operacional.  Además, el alza en la Reserva para Posibles Pérdidas con cargo a las operaciones de COSSEC, la cual asciende a $80.9 millones es la razón principal para el crecimiento de los pasivos.  Este cambio en el balance de la Reserva ocurrió durante el año fiscal 2016, cuando fue necesario ajustar la misma por $80 millones.  Esto fue necesario ante el alza en el nivel de riesgo de las cooperativas aseguradas, causado principalmente por las posibles pérdidas en los bonos de Puerto Rico.  Al 31 de agosto de 2016, el balance de inversiones en Bonos de PR en las cooperativas de ahorro y crédito asciende a más de $900 millones.</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 xml:space="preserve">Este último elemento discutido causó que los Activos Netos (capital) experimentaran una merma de $32 millones (17%) durante los pasados cuatro (4) años fiscales. La fortaleza del capital acumulado por la Corporación fue suficiente para afrontar el ajuste extraordinario a la reserva para posibles pérdidas, sí que esto llevará a la Corporación a presentar un déficit de capital. </w:t>
      </w:r>
    </w:p>
    <w:p w:rsidR="000B4306" w:rsidRPr="000B4306" w:rsidRDefault="000B4306" w:rsidP="000B4306">
      <w:pPr>
        <w:jc w:val="both"/>
        <w:rPr>
          <w:rFonts w:ascii="Arial" w:hAnsi="Arial" w:cs="Arial"/>
          <w:b/>
          <w:sz w:val="24"/>
          <w:szCs w:val="24"/>
          <w:lang w:val="es-PR"/>
        </w:rPr>
      </w:pPr>
    </w:p>
    <w:bookmarkStart w:id="1" w:name="_MON_1537959924"/>
    <w:bookmarkEnd w:id="1"/>
    <w:p w:rsidR="000B4306" w:rsidRPr="000B4306" w:rsidRDefault="000B4306" w:rsidP="000B4306">
      <w:pPr>
        <w:jc w:val="both"/>
        <w:rPr>
          <w:rFonts w:ascii="Arial" w:hAnsi="Arial" w:cs="Arial"/>
          <w:sz w:val="24"/>
          <w:szCs w:val="24"/>
          <w:lang w:val="es-PR"/>
        </w:rPr>
      </w:pPr>
      <w:r w:rsidRPr="000B4306">
        <w:rPr>
          <w:rFonts w:ascii="Arial" w:hAnsi="Arial" w:cs="Arial"/>
          <w:b/>
          <w:sz w:val="24"/>
          <w:szCs w:val="24"/>
          <w:lang w:val="es-PR"/>
        </w:rPr>
        <w:object w:dxaOrig="9006" w:dyaOrig="2617">
          <v:shape id="_x0000_i1026" type="#_x0000_t75" style="width:449.9pt;height:130.45pt" o:ole="">
            <v:imagedata r:id="rId10" o:title=""/>
          </v:shape>
          <o:OLEObject Type="Embed" ProgID="Excel.Sheet.12" ShapeID="_x0000_i1026" DrawAspect="Content" ObjectID="_1538457257" r:id="rId11"/>
        </w:object>
      </w:r>
    </w:p>
    <w:p w:rsidR="000B4306" w:rsidRPr="000B4306" w:rsidRDefault="000B4306" w:rsidP="000B4306">
      <w:pPr>
        <w:jc w:val="both"/>
        <w:rPr>
          <w:rFonts w:ascii="Arial" w:hAnsi="Arial" w:cs="Arial"/>
          <w:sz w:val="24"/>
          <w:szCs w:val="24"/>
          <w:lang w:val="es-PR"/>
        </w:rPr>
      </w:pP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 xml:space="preserve">Vemos en la tabla provista, que la Corporación ha podido generar economías antes de provisión, en todos los años aquí detallados.  La economía total generada ascendió a $61 millones.  Tras registrar los ajustes contables para conocer los riesgos de pérdidas que asume la Corporación al asegurar las acciones y depósitos de las cooperativas de ahorro y crédito, la Corporación reporta una pérdida ascendente a $25 millones.  Esta pérdida es causada por el ajuste de provisión realizado para el Año Fiscal 2016, el cual </w:t>
      </w:r>
      <w:r w:rsidRPr="000B4306">
        <w:rPr>
          <w:rFonts w:ascii="Arial" w:hAnsi="Arial" w:cs="Arial"/>
          <w:sz w:val="24"/>
          <w:szCs w:val="24"/>
          <w:lang w:val="es-PR"/>
        </w:rPr>
        <w:lastRenderedPageBreak/>
        <w:t xml:space="preserve">ascendió a $81 millones.  No obstante, al excluir los ajustes de provisión realizado, durante los pasados 5 años fiscales COSSEC generó una economía promedio ascendentes a aproximadamente $12 millones. </w:t>
      </w:r>
    </w:p>
    <w:p w:rsidR="000B4306" w:rsidRPr="000B4306" w:rsidRDefault="000B4306" w:rsidP="000B4306">
      <w:pPr>
        <w:jc w:val="both"/>
        <w:rPr>
          <w:rFonts w:ascii="Arial" w:hAnsi="Arial" w:cs="Arial"/>
          <w:sz w:val="24"/>
          <w:szCs w:val="24"/>
          <w:u w:val="single"/>
          <w:lang w:val="es-PR"/>
        </w:rPr>
      </w:pPr>
    </w:p>
    <w:p w:rsidR="000B4306" w:rsidRPr="000B4306" w:rsidRDefault="000B4306" w:rsidP="000B4306">
      <w:pPr>
        <w:jc w:val="both"/>
        <w:rPr>
          <w:rFonts w:ascii="Arial" w:hAnsi="Arial" w:cs="Arial"/>
          <w:b/>
          <w:sz w:val="24"/>
          <w:szCs w:val="24"/>
          <w:u w:val="single"/>
          <w:lang w:val="es-PR"/>
        </w:rPr>
      </w:pPr>
      <w:r w:rsidRPr="000B4306">
        <w:rPr>
          <w:rFonts w:ascii="Arial" w:hAnsi="Arial" w:cs="Arial"/>
          <w:b/>
          <w:sz w:val="24"/>
          <w:szCs w:val="24"/>
          <w:u w:val="single"/>
          <w:lang w:val="es-PR"/>
        </w:rPr>
        <w:t xml:space="preserve">Ingresos </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Los ingresos principales de la Corporación son:</w:t>
      </w:r>
    </w:p>
    <w:p w:rsidR="000B4306" w:rsidRPr="000B4306" w:rsidRDefault="000B4306" w:rsidP="000B4306">
      <w:pPr>
        <w:pStyle w:val="ListParagraph"/>
        <w:numPr>
          <w:ilvl w:val="0"/>
          <w:numId w:val="14"/>
        </w:numPr>
        <w:jc w:val="both"/>
        <w:rPr>
          <w:rFonts w:ascii="Arial" w:hAnsi="Arial" w:cs="Arial"/>
          <w:sz w:val="24"/>
          <w:szCs w:val="24"/>
          <w:lang w:val="es-PR"/>
        </w:rPr>
      </w:pPr>
      <w:r w:rsidRPr="000B4306">
        <w:rPr>
          <w:rFonts w:ascii="Arial" w:hAnsi="Arial" w:cs="Arial"/>
          <w:sz w:val="24"/>
          <w:szCs w:val="24"/>
          <w:lang w:val="es-PR"/>
        </w:rPr>
        <w:t xml:space="preserve">las primas pagadas por las cooperativas aseguradas, </w:t>
      </w:r>
    </w:p>
    <w:p w:rsidR="000B4306" w:rsidRPr="000B4306" w:rsidRDefault="000B4306" w:rsidP="000B4306">
      <w:pPr>
        <w:pStyle w:val="ListParagraph"/>
        <w:numPr>
          <w:ilvl w:val="0"/>
          <w:numId w:val="14"/>
        </w:numPr>
        <w:jc w:val="both"/>
        <w:rPr>
          <w:rFonts w:ascii="Arial" w:hAnsi="Arial" w:cs="Arial"/>
          <w:sz w:val="24"/>
          <w:szCs w:val="24"/>
          <w:lang w:val="es-PR"/>
        </w:rPr>
      </w:pPr>
      <w:r w:rsidRPr="000B4306">
        <w:rPr>
          <w:rFonts w:ascii="Arial" w:hAnsi="Arial" w:cs="Arial"/>
          <w:sz w:val="24"/>
          <w:szCs w:val="24"/>
          <w:lang w:val="es-PR"/>
        </w:rPr>
        <w:t>los intereses generados por las inversiones en bonos negociables realizadas por COSSEC</w:t>
      </w:r>
    </w:p>
    <w:p w:rsidR="000B4306" w:rsidRPr="000B4306" w:rsidRDefault="000B4306" w:rsidP="000B4306">
      <w:pPr>
        <w:pStyle w:val="ListParagraph"/>
        <w:numPr>
          <w:ilvl w:val="0"/>
          <w:numId w:val="14"/>
        </w:numPr>
        <w:jc w:val="both"/>
        <w:rPr>
          <w:rFonts w:ascii="Arial" w:hAnsi="Arial" w:cs="Arial"/>
          <w:sz w:val="24"/>
          <w:szCs w:val="24"/>
          <w:lang w:val="es-PR"/>
        </w:rPr>
      </w:pPr>
      <w:r w:rsidRPr="000B4306">
        <w:rPr>
          <w:rFonts w:ascii="Arial" w:hAnsi="Arial" w:cs="Arial"/>
          <w:sz w:val="24"/>
          <w:szCs w:val="24"/>
          <w:lang w:val="es-PR"/>
        </w:rPr>
        <w:t>las actividades asociadas a estas, tales como ganancia o pérdida en la venta, amortización de prima y descuento, cambio en el valor del mercado de las inversiones</w:t>
      </w:r>
    </w:p>
    <w:p w:rsidR="000B4306" w:rsidRPr="000B4306" w:rsidRDefault="000B4306" w:rsidP="000B4306">
      <w:pPr>
        <w:pStyle w:val="ListParagraph"/>
        <w:numPr>
          <w:ilvl w:val="0"/>
          <w:numId w:val="14"/>
        </w:numPr>
        <w:jc w:val="both"/>
        <w:rPr>
          <w:rFonts w:ascii="Arial" w:hAnsi="Arial" w:cs="Arial"/>
          <w:sz w:val="24"/>
          <w:szCs w:val="24"/>
          <w:lang w:val="es-PR"/>
        </w:rPr>
      </w:pPr>
      <w:r w:rsidRPr="000B4306">
        <w:rPr>
          <w:rFonts w:ascii="Arial" w:hAnsi="Arial" w:cs="Arial"/>
          <w:sz w:val="24"/>
          <w:szCs w:val="24"/>
          <w:lang w:val="es-PR"/>
        </w:rPr>
        <w:t>entre otras.</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Los ingresos relacionados con las primas se presentan estables en los pasados cinco años fiscales.  Durante este período las primas han variado entre $22 y 23 millones por año. No obstante, los ingresos relacionados con las actividades de inversiones han variado de año en año.  A continuación, presentamos una relación de estas actividades:</w:t>
      </w:r>
    </w:p>
    <w:bookmarkStart w:id="2" w:name="_MON_1537961892"/>
    <w:bookmarkEnd w:id="2"/>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object w:dxaOrig="11128" w:dyaOrig="1506">
          <v:shape id="_x0000_i1027" type="#_x0000_t75" style="width:471.7pt;height:63.7pt" o:ole="">
            <v:imagedata r:id="rId12" o:title=""/>
          </v:shape>
          <o:OLEObject Type="Embed" ProgID="Excel.Sheet.12" ShapeID="_x0000_i1027" DrawAspect="Content" ObjectID="_1538457258" r:id="rId13"/>
        </w:objec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 xml:space="preserve">Como muestra la tabla, en los pasados cuatro años fiscales la tendencia en los ingresos de intereses sobre las inversiones mantuvieron una tendencia de constante crecimiento.  Entre los años fiscales 2012 y 2016, los mismos aumentaron por aproximadamente $3 millones o un (48%).  De igual forma, durante el período antes mencionado, la Corporación generó ganancia en la venta de inversiones ascendentes a más de $6 millones.  </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No obstante, la partida de Ganancia o (Pérdida) en la Valorización de las inversiones afectó negativamente los resultados totales de las actividades de las inversiones.  En los pasados cuatro años fiscales las operaciones de COSSEC ha registrado pérdidas no realizadas por el cambio en el valor del mercado de las inversiones ascendentes a $31 millones.  Esto significa que si durante estos períodos el efecto de esta partida fuese $0.00, el capital de COSSEC reflejaría $31 millones más en sus ganancias retenidas.</w:t>
      </w:r>
    </w:p>
    <w:p w:rsidR="00997796" w:rsidRDefault="00997796" w:rsidP="000B4306">
      <w:pPr>
        <w:jc w:val="both"/>
        <w:rPr>
          <w:rFonts w:ascii="Arial" w:hAnsi="Arial" w:cs="Arial"/>
          <w:b/>
          <w:sz w:val="24"/>
          <w:szCs w:val="24"/>
          <w:u w:val="single"/>
          <w:lang w:val="es-PR"/>
        </w:rPr>
      </w:pPr>
    </w:p>
    <w:p w:rsidR="00997796" w:rsidRDefault="00997796" w:rsidP="000B4306">
      <w:pPr>
        <w:jc w:val="both"/>
        <w:rPr>
          <w:rFonts w:ascii="Arial" w:hAnsi="Arial" w:cs="Arial"/>
          <w:b/>
          <w:sz w:val="24"/>
          <w:szCs w:val="24"/>
          <w:u w:val="single"/>
          <w:lang w:val="es-PR"/>
        </w:rPr>
      </w:pPr>
    </w:p>
    <w:p w:rsidR="00997796" w:rsidRDefault="00997796" w:rsidP="000B4306">
      <w:pPr>
        <w:jc w:val="both"/>
        <w:rPr>
          <w:rFonts w:ascii="Arial" w:hAnsi="Arial" w:cs="Arial"/>
          <w:b/>
          <w:sz w:val="24"/>
          <w:szCs w:val="24"/>
          <w:u w:val="single"/>
          <w:lang w:val="es-PR"/>
        </w:rPr>
      </w:pPr>
    </w:p>
    <w:p w:rsidR="000B4306" w:rsidRPr="000B4306" w:rsidRDefault="000B4306" w:rsidP="000B4306">
      <w:pPr>
        <w:jc w:val="both"/>
        <w:rPr>
          <w:rFonts w:ascii="Arial" w:hAnsi="Arial" w:cs="Arial"/>
          <w:b/>
          <w:sz w:val="24"/>
          <w:szCs w:val="24"/>
          <w:u w:val="single"/>
          <w:lang w:val="es-PR"/>
        </w:rPr>
      </w:pPr>
      <w:r w:rsidRPr="000B4306">
        <w:rPr>
          <w:rFonts w:ascii="Arial" w:hAnsi="Arial" w:cs="Arial"/>
          <w:b/>
          <w:sz w:val="24"/>
          <w:szCs w:val="24"/>
          <w:u w:val="single"/>
          <w:lang w:val="es-PR"/>
        </w:rPr>
        <w:lastRenderedPageBreak/>
        <w:t>Gastos</w:t>
      </w:r>
    </w:p>
    <w:p w:rsidR="000B4306" w:rsidRPr="000B4306" w:rsidRDefault="000B4306" w:rsidP="000B4306">
      <w:pPr>
        <w:jc w:val="both"/>
        <w:rPr>
          <w:rFonts w:ascii="Arial" w:hAnsi="Arial" w:cs="Arial"/>
          <w:b/>
          <w:sz w:val="24"/>
          <w:szCs w:val="24"/>
          <w:u w:val="single"/>
          <w:lang w:val="es-PR"/>
        </w:rPr>
      </w:pPr>
    </w:p>
    <w:bookmarkStart w:id="3" w:name="_MON_1538295421"/>
    <w:bookmarkEnd w:id="3"/>
    <w:p w:rsidR="000B4306" w:rsidRPr="000B4306" w:rsidRDefault="000B4306" w:rsidP="000B4306">
      <w:pPr>
        <w:jc w:val="both"/>
        <w:rPr>
          <w:rFonts w:ascii="Arial" w:hAnsi="Arial" w:cs="Arial"/>
          <w:b/>
          <w:sz w:val="24"/>
          <w:szCs w:val="24"/>
          <w:u w:val="single"/>
          <w:lang w:val="es-PR"/>
        </w:rPr>
      </w:pPr>
      <w:r w:rsidRPr="000B4306">
        <w:rPr>
          <w:rFonts w:ascii="Arial" w:hAnsi="Arial" w:cs="Arial"/>
          <w:sz w:val="24"/>
          <w:szCs w:val="24"/>
          <w:lang w:val="es-PR"/>
        </w:rPr>
        <w:object w:dxaOrig="11737" w:dyaOrig="2939">
          <v:shape id="_x0000_i1028" type="#_x0000_t75" style="width:471.7pt;height:118.25pt" o:ole="">
            <v:imagedata r:id="rId14" o:title=""/>
          </v:shape>
          <o:OLEObject Type="Embed" ProgID="Excel.Sheet.12" ShapeID="_x0000_i1028" DrawAspect="Content" ObjectID="_1538457259" r:id="rId15"/>
        </w:objec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En la sección de Gastos Administrativos y Operacionales, durante los primeros tres años de este cuatrienio los mismos mostraron una tendencia de constante disminución.  Entre el 2012 y el2015, el total gastos asociados a las operaciones de COSSEC disminuyeron por $1.7 millones o un 13%.  No obstante, para el 2016, los gastos operacionales aumentaron por aproximadamente $400 mil o 3.58% en comparación el 2015.  Sin embargo, al comprar el total de gastos reportado en el 2016 con el incurrido para el cierre del 2012, el mismo representa una reducción de $1.3 millones, equivalente a un 9.70%.  Lo que, si podemos concluir, es que durante los pasados cuatro años fiscales la Corporación operó prácticamente con la misma estructura de gastos, sin reflejar cambios significativos.</w:t>
      </w:r>
    </w:p>
    <w:bookmarkStart w:id="4" w:name="_MON_1538302760"/>
    <w:bookmarkEnd w:id="4"/>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object w:dxaOrig="11483" w:dyaOrig="1181">
          <v:shape id="_x0000_i1029" type="#_x0000_t75" style="width:468.65pt;height:48pt" o:ole="">
            <v:imagedata r:id="rId16" o:title=""/>
          </v:shape>
          <o:OLEObject Type="Embed" ProgID="Excel.Sheet.12" ShapeID="_x0000_i1029" DrawAspect="Content" ObjectID="_1538457260" r:id="rId17"/>
        </w:objec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 xml:space="preserve">Si compramos los gastos reportados para cada uno de los años fiscales con el presupuesto de gastos operacionales aprobado por la Junta de Directores, notaremos que desde el 2013 hasta el 2016, la Corporación gasto menos del presupuesto aprobado.  Al Agregar todos estos sobrantes, obtenemos que COSSEC gastó $4.4 millones menos, que el total de presupuesto aprobado durante este mismo período, le cual ascendió a $51.8 millones.  Esto implica que el ahorro presupuestario acumulado en los pasados cuatro años fiscales fue de 8.49%. </w:t>
      </w:r>
    </w:p>
    <w:p w:rsidR="000B4306" w:rsidRPr="000B4306" w:rsidRDefault="000B4306" w:rsidP="000B4306">
      <w:pPr>
        <w:rPr>
          <w:rFonts w:ascii="Arial" w:hAnsi="Arial" w:cs="Arial"/>
          <w:b/>
          <w:sz w:val="24"/>
          <w:szCs w:val="24"/>
          <w:u w:val="single"/>
          <w:lang w:val="es-PR"/>
        </w:rPr>
      </w:pPr>
      <w:r w:rsidRPr="000B4306">
        <w:rPr>
          <w:rFonts w:ascii="Arial" w:hAnsi="Arial" w:cs="Arial"/>
          <w:b/>
          <w:sz w:val="24"/>
          <w:szCs w:val="24"/>
          <w:u w:val="single"/>
          <w:lang w:val="es-PR"/>
        </w:rPr>
        <w:br w:type="page"/>
      </w:r>
    </w:p>
    <w:p w:rsidR="000B4306" w:rsidRPr="000B4306" w:rsidRDefault="000B4306" w:rsidP="000B4306">
      <w:pPr>
        <w:jc w:val="both"/>
        <w:rPr>
          <w:rFonts w:ascii="Arial" w:hAnsi="Arial" w:cs="Arial"/>
          <w:b/>
          <w:sz w:val="24"/>
          <w:szCs w:val="24"/>
          <w:u w:val="single"/>
          <w:lang w:val="es-PR"/>
        </w:rPr>
      </w:pPr>
      <w:r w:rsidRPr="000B4306">
        <w:rPr>
          <w:rFonts w:ascii="Arial" w:hAnsi="Arial" w:cs="Arial"/>
          <w:b/>
          <w:sz w:val="24"/>
          <w:szCs w:val="24"/>
          <w:u w:val="single"/>
          <w:lang w:val="es-PR"/>
        </w:rPr>
        <w:lastRenderedPageBreak/>
        <w:t>Presupuesto Fiscal Vigente 2016-2017:</w:t>
      </w:r>
    </w:p>
    <w:p w:rsidR="000B4306" w:rsidRPr="000B4306" w:rsidRDefault="000B4306" w:rsidP="000B4306">
      <w:pPr>
        <w:jc w:val="both"/>
        <w:rPr>
          <w:rFonts w:ascii="Arial" w:hAnsi="Arial" w:cs="Arial"/>
          <w:b/>
          <w:sz w:val="24"/>
          <w:szCs w:val="24"/>
          <w:u w:val="single"/>
          <w:lang w:val="es-PR"/>
        </w:rPr>
      </w:pPr>
    </w:p>
    <w:bookmarkStart w:id="5" w:name="_MON_1538303670"/>
    <w:bookmarkEnd w:id="5"/>
    <w:p w:rsidR="000B4306" w:rsidRPr="000B4306" w:rsidRDefault="000B4306" w:rsidP="000B4306">
      <w:pPr>
        <w:ind w:left="450"/>
        <w:jc w:val="both"/>
        <w:rPr>
          <w:rFonts w:ascii="Arial" w:hAnsi="Arial" w:cs="Arial"/>
          <w:b/>
          <w:sz w:val="24"/>
          <w:szCs w:val="24"/>
          <w:u w:val="single"/>
          <w:lang w:val="es-PR"/>
        </w:rPr>
      </w:pPr>
      <w:r w:rsidRPr="000B4306">
        <w:rPr>
          <w:rFonts w:ascii="Arial" w:hAnsi="Arial" w:cs="Arial"/>
          <w:b/>
          <w:sz w:val="24"/>
          <w:szCs w:val="24"/>
          <w:u w:val="single"/>
          <w:lang w:val="es-PR"/>
        </w:rPr>
        <w:object w:dxaOrig="8452" w:dyaOrig="6722">
          <v:shape id="_x0000_i1030" type="#_x0000_t75" style="width:421.95pt;height:336pt" o:ole="">
            <v:imagedata r:id="rId18" o:title=""/>
          </v:shape>
          <o:OLEObject Type="Embed" ProgID="Excel.Sheet.12" ShapeID="_x0000_i1030" DrawAspect="Content" ObjectID="_1538457261" r:id="rId19"/>
        </w:object>
      </w:r>
    </w:p>
    <w:p w:rsidR="000B4306" w:rsidRPr="000B4306" w:rsidRDefault="000B4306" w:rsidP="000B4306">
      <w:pPr>
        <w:jc w:val="both"/>
        <w:rPr>
          <w:rFonts w:ascii="Arial" w:hAnsi="Arial" w:cs="Arial"/>
          <w:sz w:val="24"/>
          <w:szCs w:val="24"/>
          <w:lang w:val="es-PR"/>
        </w:rPr>
      </w:pP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t>De acuerdo al presupuesto 2016-2017, la Corporación proyectó generar una economía neta de aproximadamente $17 millones, esto sin considerar cualquier ajuste a la Reserva para Posibles Pérdidas. Los resultados operacionales al 31 de agosto de 2016, reflejan una insuficiencia de presupuesto por $531 mil.  Esto se debe a varios factores:</w:t>
      </w:r>
    </w:p>
    <w:p w:rsidR="000B4306" w:rsidRPr="000B4306" w:rsidRDefault="000B4306" w:rsidP="000B4306">
      <w:pPr>
        <w:jc w:val="both"/>
        <w:rPr>
          <w:rFonts w:ascii="Arial" w:hAnsi="Arial" w:cs="Arial"/>
          <w:sz w:val="24"/>
          <w:szCs w:val="24"/>
          <w:lang w:val="es-PR"/>
        </w:rPr>
      </w:pPr>
    </w:p>
    <w:p w:rsidR="000B4306" w:rsidRPr="000B4306" w:rsidRDefault="000B4306" w:rsidP="000B4306">
      <w:pPr>
        <w:pStyle w:val="ListParagraph"/>
        <w:numPr>
          <w:ilvl w:val="0"/>
          <w:numId w:val="15"/>
        </w:numPr>
        <w:jc w:val="both"/>
        <w:rPr>
          <w:rFonts w:ascii="Arial" w:hAnsi="Arial" w:cs="Arial"/>
          <w:sz w:val="24"/>
          <w:szCs w:val="24"/>
          <w:lang w:val="es-PR"/>
        </w:rPr>
      </w:pPr>
      <w:r w:rsidRPr="000B4306">
        <w:rPr>
          <w:rFonts w:ascii="Arial" w:hAnsi="Arial" w:cs="Arial"/>
          <w:sz w:val="24"/>
          <w:szCs w:val="24"/>
          <w:lang w:val="es-PR"/>
        </w:rPr>
        <w:t>En julio de 2016 se pagó en su totalidad la aportación de especial uniforme conforme a la Ley Núm. 32 de 2013 y la portación a leyes especiales de Retiro.  El pago realizado fue por cantidad de $995 mil.</w:t>
      </w:r>
    </w:p>
    <w:p w:rsidR="000B4306" w:rsidRPr="000B4306" w:rsidRDefault="000B4306" w:rsidP="000B4306">
      <w:pPr>
        <w:pStyle w:val="ListParagraph"/>
        <w:numPr>
          <w:ilvl w:val="0"/>
          <w:numId w:val="15"/>
        </w:numPr>
        <w:jc w:val="both"/>
        <w:rPr>
          <w:rFonts w:ascii="Arial" w:hAnsi="Arial" w:cs="Arial"/>
          <w:sz w:val="24"/>
          <w:szCs w:val="24"/>
          <w:lang w:val="es-PR"/>
        </w:rPr>
      </w:pPr>
      <w:r w:rsidRPr="000B4306">
        <w:rPr>
          <w:rFonts w:ascii="Arial" w:hAnsi="Arial" w:cs="Arial"/>
          <w:sz w:val="24"/>
          <w:szCs w:val="24"/>
          <w:lang w:val="es-PR"/>
        </w:rPr>
        <w:t>En agosto de 2016, fueron pagados los seguros de responsabilidad pública, auto y responsabilidad legal de los directores, esto de conformidad con los requerimientos de la División de Seguros Públicos del Departamento de Hacienda.  El pago global ascendió a $41 mil.</w:t>
      </w:r>
    </w:p>
    <w:p w:rsidR="000B4306" w:rsidRPr="000B4306" w:rsidRDefault="000B4306" w:rsidP="000B4306">
      <w:pPr>
        <w:jc w:val="both"/>
        <w:rPr>
          <w:rFonts w:ascii="Arial" w:hAnsi="Arial" w:cs="Arial"/>
          <w:sz w:val="24"/>
          <w:szCs w:val="24"/>
          <w:lang w:val="es-PR"/>
        </w:rPr>
      </w:pPr>
      <w:r w:rsidRPr="000B4306">
        <w:rPr>
          <w:rFonts w:ascii="Arial" w:hAnsi="Arial" w:cs="Arial"/>
          <w:sz w:val="24"/>
          <w:szCs w:val="24"/>
          <w:lang w:val="es-PR"/>
        </w:rPr>
        <w:lastRenderedPageBreak/>
        <w:t>El agregado de ambos gastos es de más de $1 millón.  Si prorrateáramos, este gasto por el año fiscal completo, la porción aplicable al 31 de agosto de 2016, sería de $173</w:t>
      </w:r>
      <w:r w:rsidRPr="000B4306">
        <w:rPr>
          <w:rStyle w:val="FootnoteReference"/>
          <w:rFonts w:ascii="Arial" w:hAnsi="Arial" w:cs="Arial"/>
          <w:sz w:val="24"/>
          <w:szCs w:val="24"/>
          <w:lang w:val="es-PR"/>
        </w:rPr>
        <w:footnoteReference w:id="1"/>
      </w:r>
      <w:r w:rsidRPr="000B4306">
        <w:rPr>
          <w:rFonts w:ascii="Arial" w:hAnsi="Arial" w:cs="Arial"/>
          <w:sz w:val="24"/>
          <w:szCs w:val="24"/>
          <w:lang w:val="es-PR"/>
        </w:rPr>
        <w:t xml:space="preserve"> mil.  Por tanto, el gasto acumulado aplicable a agosto de 2016, sería de aproximadamente $1.8</w:t>
      </w:r>
      <w:r w:rsidRPr="000B4306">
        <w:rPr>
          <w:rStyle w:val="FootnoteReference"/>
          <w:rFonts w:ascii="Arial" w:hAnsi="Arial" w:cs="Arial"/>
          <w:sz w:val="24"/>
          <w:szCs w:val="24"/>
          <w:lang w:val="es-PR"/>
        </w:rPr>
        <w:footnoteReference w:id="2"/>
      </w:r>
      <w:r w:rsidRPr="000B4306">
        <w:rPr>
          <w:rFonts w:ascii="Arial" w:hAnsi="Arial" w:cs="Arial"/>
          <w:sz w:val="24"/>
          <w:szCs w:val="24"/>
          <w:lang w:val="es-PR"/>
        </w:rPr>
        <w:t xml:space="preserve"> millones, lo que representaría que estamos en cumplimiento con el presupuesto aprobado por la Junta de Directores para este período, el cual es de $2.1 millones.  Proyectamos que al final del Año Fiscal 2017, el gasto total ascienda a $12.3 millones, lo que representaría un ahorro de poco más de $500 mil.</w:t>
      </w:r>
    </w:p>
    <w:p w:rsidR="00663835" w:rsidRDefault="00663835" w:rsidP="00A953CD">
      <w:pPr>
        <w:jc w:val="both"/>
        <w:rPr>
          <w:rFonts w:ascii="Arial" w:hAnsi="Arial" w:cs="Arial"/>
          <w:sz w:val="24"/>
          <w:szCs w:val="24"/>
          <w:lang w:val="es-PR"/>
        </w:rPr>
      </w:pPr>
    </w:p>
    <w:p w:rsidR="00A953CD" w:rsidRPr="00A22A56" w:rsidRDefault="00A953CD" w:rsidP="00A953CD">
      <w:pPr>
        <w:jc w:val="both"/>
        <w:rPr>
          <w:rFonts w:ascii="Arial" w:hAnsi="Arial" w:cs="Arial"/>
          <w:b/>
          <w:sz w:val="24"/>
          <w:szCs w:val="24"/>
          <w:u w:val="single"/>
          <w:lang w:val="es-PR"/>
        </w:rPr>
      </w:pPr>
      <w:r w:rsidRPr="00A22A56">
        <w:rPr>
          <w:rFonts w:ascii="Arial" w:hAnsi="Arial" w:cs="Arial"/>
          <w:b/>
          <w:sz w:val="24"/>
          <w:szCs w:val="24"/>
          <w:u w:val="single"/>
          <w:lang w:val="es-PR"/>
        </w:rPr>
        <w:t>Fiscalización y Seguro de Cooperativas:</w:t>
      </w:r>
    </w:p>
    <w:p w:rsidR="00A953CD" w:rsidRPr="00A22A56" w:rsidRDefault="00A953CD" w:rsidP="00A953CD">
      <w:pPr>
        <w:jc w:val="both"/>
        <w:rPr>
          <w:rFonts w:ascii="Arial" w:hAnsi="Arial" w:cs="Arial"/>
          <w:b/>
          <w:sz w:val="24"/>
          <w:szCs w:val="24"/>
          <w:lang w:val="es-PR"/>
        </w:rPr>
      </w:pPr>
      <w:r w:rsidRPr="00A22A56">
        <w:rPr>
          <w:rFonts w:ascii="Arial" w:hAnsi="Arial" w:cs="Arial"/>
          <w:b/>
          <w:sz w:val="24"/>
          <w:szCs w:val="24"/>
          <w:lang w:val="es-PR"/>
        </w:rPr>
        <w:t xml:space="preserve">            Tipo</w:t>
      </w:r>
      <w:r w:rsidRPr="00A22A56">
        <w:rPr>
          <w:rFonts w:ascii="Arial" w:hAnsi="Arial" w:cs="Arial"/>
          <w:b/>
          <w:sz w:val="24"/>
          <w:szCs w:val="24"/>
          <w:lang w:val="es-PR"/>
        </w:rPr>
        <w:tab/>
      </w:r>
      <w:r w:rsidRPr="00A22A56">
        <w:rPr>
          <w:rFonts w:ascii="Arial" w:hAnsi="Arial" w:cs="Arial"/>
          <w:b/>
          <w:sz w:val="24"/>
          <w:szCs w:val="24"/>
          <w:lang w:val="es-PR"/>
        </w:rPr>
        <w:tab/>
      </w:r>
      <w:r w:rsidRPr="00A22A56">
        <w:rPr>
          <w:rFonts w:ascii="Arial" w:hAnsi="Arial" w:cs="Arial"/>
          <w:b/>
          <w:sz w:val="24"/>
          <w:szCs w:val="24"/>
          <w:lang w:val="es-PR"/>
        </w:rPr>
        <w:tab/>
      </w:r>
      <w:r w:rsidRPr="00A22A56">
        <w:rPr>
          <w:rFonts w:ascii="Arial" w:hAnsi="Arial" w:cs="Arial"/>
          <w:b/>
          <w:sz w:val="24"/>
          <w:szCs w:val="24"/>
          <w:lang w:val="es-PR"/>
        </w:rPr>
        <w:tab/>
      </w:r>
      <w:r w:rsidRPr="00A22A56">
        <w:rPr>
          <w:rFonts w:ascii="Arial" w:hAnsi="Arial" w:cs="Arial"/>
          <w:b/>
          <w:sz w:val="24"/>
          <w:szCs w:val="24"/>
          <w:lang w:val="es-PR"/>
        </w:rPr>
        <w:tab/>
      </w:r>
      <w:r w:rsidRPr="00A22A56">
        <w:rPr>
          <w:rFonts w:ascii="Arial" w:hAnsi="Arial" w:cs="Arial"/>
          <w:b/>
          <w:sz w:val="24"/>
          <w:szCs w:val="24"/>
          <w:lang w:val="es-PR"/>
        </w:rPr>
        <w:tab/>
      </w:r>
      <w:r w:rsidRPr="00A22A56">
        <w:rPr>
          <w:rFonts w:ascii="Arial" w:hAnsi="Arial" w:cs="Arial"/>
          <w:b/>
          <w:sz w:val="24"/>
          <w:szCs w:val="24"/>
          <w:lang w:val="es-PR"/>
        </w:rPr>
        <w:tab/>
        <w:t>Cantidad (Activas)</w:t>
      </w:r>
    </w:p>
    <w:tbl>
      <w:tblPr>
        <w:tblStyle w:val="TableGrid"/>
        <w:tblW w:w="0" w:type="auto"/>
        <w:tblLook w:val="04A0" w:firstRow="1" w:lastRow="0" w:firstColumn="1" w:lastColumn="0" w:noHBand="0" w:noVBand="1"/>
      </w:tblPr>
      <w:tblGrid>
        <w:gridCol w:w="4675"/>
        <w:gridCol w:w="4675"/>
      </w:tblGrid>
      <w:tr w:rsidR="00A953CD" w:rsidRPr="00A22A56" w:rsidTr="004177AD">
        <w:tc>
          <w:tcPr>
            <w:tcW w:w="4675" w:type="dxa"/>
          </w:tcPr>
          <w:p w:rsidR="00A953CD" w:rsidRPr="00A22A56" w:rsidRDefault="00A953CD" w:rsidP="004177AD">
            <w:pPr>
              <w:jc w:val="both"/>
              <w:rPr>
                <w:rFonts w:ascii="Arial" w:hAnsi="Arial" w:cs="Arial"/>
                <w:sz w:val="24"/>
                <w:szCs w:val="24"/>
                <w:lang w:val="es-PR"/>
              </w:rPr>
            </w:pPr>
            <w:r w:rsidRPr="00A22A56">
              <w:rPr>
                <w:rFonts w:ascii="Arial" w:hAnsi="Arial" w:cs="Arial"/>
                <w:sz w:val="24"/>
                <w:szCs w:val="24"/>
                <w:lang w:val="es-PR"/>
              </w:rPr>
              <w:t>Ahorro y Crédito</w:t>
            </w:r>
          </w:p>
        </w:tc>
        <w:tc>
          <w:tcPr>
            <w:tcW w:w="4675" w:type="dxa"/>
          </w:tcPr>
          <w:p w:rsidR="00A953CD" w:rsidRPr="00A22A56" w:rsidRDefault="00A953CD" w:rsidP="004177AD">
            <w:pPr>
              <w:jc w:val="both"/>
              <w:rPr>
                <w:rFonts w:ascii="Arial" w:hAnsi="Arial" w:cs="Arial"/>
                <w:b/>
                <w:sz w:val="24"/>
                <w:szCs w:val="24"/>
                <w:lang w:val="es-PR"/>
              </w:rPr>
            </w:pPr>
            <w:r w:rsidRPr="00A22A56">
              <w:rPr>
                <w:rFonts w:ascii="Arial" w:hAnsi="Arial" w:cs="Arial"/>
                <w:b/>
                <w:sz w:val="24"/>
                <w:szCs w:val="24"/>
                <w:lang w:val="es-PR"/>
              </w:rPr>
              <w:t>117</w:t>
            </w:r>
          </w:p>
        </w:tc>
      </w:tr>
      <w:tr w:rsidR="00A953CD" w:rsidRPr="00A22A56" w:rsidTr="004177AD">
        <w:tc>
          <w:tcPr>
            <w:tcW w:w="4675" w:type="dxa"/>
          </w:tcPr>
          <w:p w:rsidR="00A953CD" w:rsidRPr="00A22A56" w:rsidRDefault="00A953CD" w:rsidP="004177AD">
            <w:pPr>
              <w:jc w:val="both"/>
              <w:rPr>
                <w:rFonts w:ascii="Arial" w:hAnsi="Arial" w:cs="Arial"/>
                <w:sz w:val="24"/>
                <w:szCs w:val="24"/>
                <w:lang w:val="es-PR"/>
              </w:rPr>
            </w:pPr>
            <w:r w:rsidRPr="00A22A56">
              <w:rPr>
                <w:rFonts w:ascii="Arial" w:hAnsi="Arial" w:cs="Arial"/>
                <w:sz w:val="24"/>
                <w:szCs w:val="24"/>
                <w:lang w:val="es-PR"/>
              </w:rPr>
              <w:t>Tipos Diversos</w:t>
            </w:r>
          </w:p>
        </w:tc>
        <w:tc>
          <w:tcPr>
            <w:tcW w:w="4675" w:type="dxa"/>
          </w:tcPr>
          <w:p w:rsidR="00A953CD" w:rsidRPr="00A22A56" w:rsidRDefault="00A953CD" w:rsidP="004177AD">
            <w:pPr>
              <w:jc w:val="both"/>
              <w:rPr>
                <w:rFonts w:ascii="Arial" w:hAnsi="Arial" w:cs="Arial"/>
                <w:b/>
                <w:sz w:val="24"/>
                <w:szCs w:val="24"/>
                <w:lang w:val="es-PR"/>
              </w:rPr>
            </w:pPr>
            <w:r w:rsidRPr="00A22A56">
              <w:rPr>
                <w:rFonts w:ascii="Arial" w:hAnsi="Arial" w:cs="Arial"/>
                <w:b/>
                <w:sz w:val="24"/>
                <w:szCs w:val="24"/>
                <w:lang w:val="es-PR"/>
              </w:rPr>
              <w:t>121</w:t>
            </w:r>
          </w:p>
        </w:tc>
      </w:tr>
      <w:tr w:rsidR="00A953CD" w:rsidRPr="00A22A56" w:rsidTr="004177AD">
        <w:tc>
          <w:tcPr>
            <w:tcW w:w="4675" w:type="dxa"/>
          </w:tcPr>
          <w:p w:rsidR="00A953CD" w:rsidRPr="00A22A56" w:rsidRDefault="00A953CD" w:rsidP="004177AD">
            <w:pPr>
              <w:jc w:val="both"/>
              <w:rPr>
                <w:rFonts w:ascii="Arial" w:hAnsi="Arial" w:cs="Arial"/>
                <w:sz w:val="24"/>
                <w:szCs w:val="24"/>
                <w:lang w:val="es-PR"/>
              </w:rPr>
            </w:pPr>
            <w:r w:rsidRPr="00A22A56">
              <w:rPr>
                <w:rFonts w:ascii="Arial" w:hAnsi="Arial" w:cs="Arial"/>
                <w:sz w:val="24"/>
                <w:szCs w:val="24"/>
                <w:lang w:val="es-PR"/>
              </w:rPr>
              <w:t>Juveniles</w:t>
            </w:r>
          </w:p>
        </w:tc>
        <w:tc>
          <w:tcPr>
            <w:tcW w:w="4675" w:type="dxa"/>
          </w:tcPr>
          <w:p w:rsidR="00A953CD" w:rsidRPr="00A22A56" w:rsidRDefault="00A953CD" w:rsidP="004177AD">
            <w:pPr>
              <w:jc w:val="both"/>
              <w:rPr>
                <w:rFonts w:ascii="Arial" w:hAnsi="Arial" w:cs="Arial"/>
                <w:b/>
                <w:sz w:val="24"/>
                <w:szCs w:val="24"/>
                <w:lang w:val="es-PR"/>
              </w:rPr>
            </w:pPr>
            <w:r w:rsidRPr="00A22A56">
              <w:rPr>
                <w:rFonts w:ascii="Arial" w:hAnsi="Arial" w:cs="Arial"/>
                <w:b/>
                <w:sz w:val="24"/>
                <w:szCs w:val="24"/>
                <w:lang w:val="es-PR"/>
              </w:rPr>
              <w:t>288</w:t>
            </w:r>
          </w:p>
        </w:tc>
      </w:tr>
      <w:tr w:rsidR="00A953CD" w:rsidRPr="00A22A56" w:rsidTr="004177AD">
        <w:tc>
          <w:tcPr>
            <w:tcW w:w="4675" w:type="dxa"/>
          </w:tcPr>
          <w:p w:rsidR="00A953CD" w:rsidRPr="00A22A56" w:rsidRDefault="00A953CD" w:rsidP="004177AD">
            <w:pPr>
              <w:jc w:val="both"/>
              <w:rPr>
                <w:rFonts w:ascii="Arial" w:hAnsi="Arial" w:cs="Arial"/>
                <w:b/>
                <w:sz w:val="24"/>
                <w:szCs w:val="24"/>
                <w:lang w:val="es-PR"/>
              </w:rPr>
            </w:pPr>
            <w:r w:rsidRPr="00A22A56">
              <w:rPr>
                <w:rFonts w:ascii="Arial" w:hAnsi="Arial" w:cs="Arial"/>
                <w:b/>
                <w:sz w:val="24"/>
                <w:szCs w:val="24"/>
                <w:lang w:val="es-PR"/>
              </w:rPr>
              <w:t xml:space="preserve">                                                                  Total</w:t>
            </w:r>
          </w:p>
        </w:tc>
        <w:tc>
          <w:tcPr>
            <w:tcW w:w="4675" w:type="dxa"/>
          </w:tcPr>
          <w:p w:rsidR="00A953CD" w:rsidRPr="00A22A56" w:rsidRDefault="00A953CD" w:rsidP="004177AD">
            <w:pPr>
              <w:jc w:val="both"/>
              <w:rPr>
                <w:rFonts w:ascii="Arial" w:hAnsi="Arial" w:cs="Arial"/>
                <w:b/>
                <w:sz w:val="24"/>
                <w:szCs w:val="24"/>
                <w:lang w:val="es-PR"/>
              </w:rPr>
            </w:pPr>
            <w:r w:rsidRPr="00A22A56">
              <w:rPr>
                <w:rFonts w:ascii="Arial" w:hAnsi="Arial" w:cs="Arial"/>
                <w:b/>
                <w:sz w:val="24"/>
                <w:szCs w:val="24"/>
                <w:lang w:val="es-PR"/>
              </w:rPr>
              <w:t>526</w:t>
            </w:r>
          </w:p>
        </w:tc>
      </w:tr>
    </w:tbl>
    <w:p w:rsidR="00A953CD" w:rsidRPr="00A22A56" w:rsidRDefault="00A953CD" w:rsidP="00A953CD">
      <w:pPr>
        <w:jc w:val="both"/>
        <w:rPr>
          <w:rFonts w:ascii="Arial" w:hAnsi="Arial" w:cs="Arial"/>
          <w:b/>
          <w:sz w:val="24"/>
          <w:szCs w:val="24"/>
          <w:lang w:val="es-PR"/>
        </w:rPr>
      </w:pPr>
    </w:p>
    <w:p w:rsidR="00A953CD" w:rsidRPr="00A22A56" w:rsidRDefault="00A953CD" w:rsidP="00A953CD">
      <w:pPr>
        <w:jc w:val="both"/>
        <w:rPr>
          <w:rFonts w:ascii="Arial" w:hAnsi="Arial" w:cs="Arial"/>
          <w:sz w:val="24"/>
          <w:szCs w:val="24"/>
          <w:lang w:val="es-PR"/>
        </w:rPr>
      </w:pPr>
      <w:r w:rsidRPr="00A22A56">
        <w:rPr>
          <w:rFonts w:ascii="Arial" w:hAnsi="Arial" w:cs="Arial"/>
          <w:sz w:val="24"/>
          <w:szCs w:val="24"/>
          <w:lang w:val="es-PR"/>
        </w:rPr>
        <w:t>En nuestro Plan de Trabajo Anual del año 2016-2017, establecimos como meta examinar 286 cooperativas, las cuales representan el 54% de las cooperativas activas al 30 de junio de 2016.  Al 10 de octubre de 2016, habíamos examinado o estaban en proceso de intervención 19 cooperativas, representando el 7% del Plan Anual.  De acuerdo a los exámenes llevados a cabo confiamos en cumplir con un 100% del Plan, al finalizar el año fiscal.</w:t>
      </w:r>
    </w:p>
    <w:p w:rsidR="00A953CD" w:rsidRPr="00A22A56" w:rsidRDefault="00A953CD" w:rsidP="00A953CD">
      <w:pPr>
        <w:jc w:val="both"/>
        <w:rPr>
          <w:rFonts w:ascii="Arial" w:hAnsi="Arial" w:cs="Arial"/>
          <w:sz w:val="24"/>
          <w:szCs w:val="24"/>
          <w:lang w:val="es-PR"/>
        </w:rPr>
      </w:pPr>
      <w:r w:rsidRPr="00A22A56">
        <w:rPr>
          <w:rFonts w:ascii="Arial" w:hAnsi="Arial" w:cs="Arial"/>
          <w:sz w:val="24"/>
          <w:szCs w:val="24"/>
          <w:lang w:val="es-PR"/>
        </w:rPr>
        <w:t>Robustecer el área de fiscalización, sumado al reclutamiento de personal nos ha permitido mayor efectividad en nuestro rol de supervisión.  A continuación, el número de exámenes llevados a cabo desde 2013 al 2016:</w:t>
      </w:r>
    </w:p>
    <w:p w:rsidR="00A953CD" w:rsidRPr="00A22A56" w:rsidRDefault="00A953CD" w:rsidP="00A953CD">
      <w:pPr>
        <w:jc w:val="both"/>
        <w:rPr>
          <w:rFonts w:ascii="Arial" w:hAnsi="Arial" w:cs="Arial"/>
          <w:sz w:val="24"/>
          <w:szCs w:val="24"/>
          <w:lang w:val="es-PR"/>
        </w:rPr>
      </w:pPr>
    </w:p>
    <w:p w:rsidR="00A953CD" w:rsidRPr="00A22A56" w:rsidRDefault="00A953CD" w:rsidP="00A953CD">
      <w:pPr>
        <w:jc w:val="both"/>
        <w:rPr>
          <w:rFonts w:ascii="Arial" w:hAnsi="Arial" w:cs="Arial"/>
          <w:sz w:val="24"/>
          <w:szCs w:val="24"/>
          <w:lang w:val="es-PR"/>
        </w:rPr>
      </w:pPr>
      <w:r w:rsidRPr="00A22A56">
        <w:rPr>
          <w:rFonts w:ascii="Arial" w:hAnsi="Arial" w:cs="Arial"/>
          <w:sz w:val="24"/>
          <w:szCs w:val="24"/>
          <w:lang w:val="es-PR"/>
        </w:rPr>
        <w:t>2013 – 2014 Total de Cooperativas examinadas 218</w:t>
      </w:r>
    </w:p>
    <w:p w:rsidR="00A953CD" w:rsidRPr="00A22A56" w:rsidRDefault="00A953CD" w:rsidP="00A953CD">
      <w:pPr>
        <w:jc w:val="both"/>
        <w:rPr>
          <w:rFonts w:ascii="Arial" w:hAnsi="Arial" w:cs="Arial"/>
          <w:sz w:val="24"/>
          <w:szCs w:val="24"/>
          <w:lang w:val="es-PR"/>
        </w:rPr>
      </w:pPr>
      <w:r w:rsidRPr="00A22A56">
        <w:rPr>
          <w:rFonts w:ascii="Arial" w:hAnsi="Arial" w:cs="Arial"/>
          <w:sz w:val="24"/>
          <w:szCs w:val="24"/>
          <w:lang w:val="es-PR"/>
        </w:rPr>
        <w:t xml:space="preserve">2014 – 2015 Total de Cooperativas examinadas 237 </w:t>
      </w:r>
    </w:p>
    <w:p w:rsidR="00A953CD" w:rsidRPr="00A22A56" w:rsidRDefault="00A953CD" w:rsidP="00A953CD">
      <w:pPr>
        <w:jc w:val="both"/>
        <w:rPr>
          <w:rFonts w:ascii="Arial" w:hAnsi="Arial" w:cs="Arial"/>
          <w:sz w:val="24"/>
          <w:szCs w:val="24"/>
          <w:lang w:val="es-PR"/>
        </w:rPr>
      </w:pPr>
      <w:r w:rsidRPr="00A22A56">
        <w:rPr>
          <w:rFonts w:ascii="Arial" w:hAnsi="Arial" w:cs="Arial"/>
          <w:sz w:val="24"/>
          <w:szCs w:val="24"/>
          <w:lang w:val="es-PR"/>
        </w:rPr>
        <w:t>2015 – 2016 Total de Cooperativas examinadas 241</w:t>
      </w:r>
    </w:p>
    <w:p w:rsidR="00A953CD" w:rsidRPr="00A22A56" w:rsidRDefault="00A953CD" w:rsidP="00357A1E">
      <w:pPr>
        <w:jc w:val="both"/>
        <w:rPr>
          <w:rFonts w:ascii="Arial" w:hAnsi="Arial" w:cs="Arial"/>
          <w:b/>
          <w:sz w:val="24"/>
          <w:szCs w:val="24"/>
          <w:u w:val="single"/>
          <w:lang w:val="es-PR"/>
        </w:rPr>
      </w:pPr>
    </w:p>
    <w:p w:rsidR="00EC2C94" w:rsidRDefault="00EC2C94" w:rsidP="00357A1E">
      <w:pPr>
        <w:jc w:val="both"/>
        <w:rPr>
          <w:rFonts w:ascii="Arial" w:hAnsi="Arial" w:cs="Arial"/>
          <w:b/>
          <w:sz w:val="24"/>
          <w:szCs w:val="24"/>
          <w:u w:val="single"/>
          <w:lang w:val="es-PR"/>
        </w:rPr>
      </w:pPr>
    </w:p>
    <w:p w:rsidR="00EC2C94" w:rsidRDefault="00EC2C94" w:rsidP="00357A1E">
      <w:pPr>
        <w:jc w:val="both"/>
        <w:rPr>
          <w:rFonts w:ascii="Arial" w:hAnsi="Arial" w:cs="Arial"/>
          <w:b/>
          <w:sz w:val="24"/>
          <w:szCs w:val="24"/>
          <w:u w:val="single"/>
          <w:lang w:val="es-PR"/>
        </w:rPr>
      </w:pPr>
    </w:p>
    <w:p w:rsidR="00EC2C94" w:rsidRDefault="00EC2C94" w:rsidP="00357A1E">
      <w:pPr>
        <w:jc w:val="both"/>
        <w:rPr>
          <w:rFonts w:ascii="Arial" w:hAnsi="Arial" w:cs="Arial"/>
          <w:b/>
          <w:sz w:val="24"/>
          <w:szCs w:val="24"/>
          <w:u w:val="single"/>
          <w:lang w:val="es-PR"/>
        </w:rPr>
      </w:pPr>
    </w:p>
    <w:p w:rsidR="00D44240" w:rsidRPr="00A22A56" w:rsidRDefault="00D44240" w:rsidP="00357A1E">
      <w:pPr>
        <w:jc w:val="both"/>
        <w:rPr>
          <w:rFonts w:ascii="Arial" w:hAnsi="Arial" w:cs="Arial"/>
          <w:b/>
          <w:sz w:val="24"/>
          <w:szCs w:val="24"/>
          <w:u w:val="single"/>
          <w:lang w:val="es-PR"/>
        </w:rPr>
      </w:pPr>
      <w:r w:rsidRPr="00A22A56">
        <w:rPr>
          <w:rFonts w:ascii="Arial" w:hAnsi="Arial" w:cs="Arial"/>
          <w:b/>
          <w:sz w:val="24"/>
          <w:szCs w:val="24"/>
          <w:u w:val="single"/>
          <w:lang w:val="es-PR"/>
        </w:rPr>
        <w:lastRenderedPageBreak/>
        <w:t>Iniciativas Implantadas:</w:t>
      </w:r>
    </w:p>
    <w:p w:rsidR="00CC6AD7" w:rsidRPr="00A22A56" w:rsidRDefault="00143F93" w:rsidP="00357A1E">
      <w:pPr>
        <w:jc w:val="both"/>
        <w:rPr>
          <w:rFonts w:ascii="Arial" w:hAnsi="Arial" w:cs="Arial"/>
          <w:sz w:val="24"/>
          <w:szCs w:val="24"/>
          <w:lang w:val="es-PR"/>
        </w:rPr>
      </w:pPr>
      <w:r w:rsidRPr="00A22A56">
        <w:rPr>
          <w:rFonts w:ascii="Arial" w:hAnsi="Arial" w:cs="Arial"/>
          <w:sz w:val="24"/>
          <w:szCs w:val="24"/>
          <w:lang w:val="es-PR"/>
        </w:rPr>
        <w:t>En los pasados años la Gerencia de Cos</w:t>
      </w:r>
      <w:r w:rsidR="00CC6AD7" w:rsidRPr="00A22A56">
        <w:rPr>
          <w:rFonts w:ascii="Arial" w:hAnsi="Arial" w:cs="Arial"/>
          <w:sz w:val="24"/>
          <w:szCs w:val="24"/>
          <w:lang w:val="es-PR"/>
        </w:rPr>
        <w:t xml:space="preserve">sec </w:t>
      </w:r>
      <w:r w:rsidR="00974B13" w:rsidRPr="00A22A56">
        <w:rPr>
          <w:rFonts w:ascii="Arial" w:hAnsi="Arial" w:cs="Arial"/>
          <w:sz w:val="24"/>
          <w:szCs w:val="24"/>
          <w:lang w:val="es-PR"/>
        </w:rPr>
        <w:t>logró instaurar</w:t>
      </w:r>
      <w:r w:rsidR="00CC6AD7" w:rsidRPr="00A22A56">
        <w:rPr>
          <w:rFonts w:ascii="Arial" w:hAnsi="Arial" w:cs="Arial"/>
          <w:sz w:val="24"/>
          <w:szCs w:val="24"/>
          <w:lang w:val="es-PR"/>
        </w:rPr>
        <w:t xml:space="preserve"> iniciativas eficaces en la operación y administración de la Corporación.  Las mismas han tenido un impacto significativo en el fortalecimiento del seguro, servicios internos y externos, asimismo a las cooperativas aseguradas y fiscalizadas.  </w:t>
      </w:r>
    </w:p>
    <w:p w:rsidR="00CC6AD7" w:rsidRPr="00A22A56" w:rsidRDefault="0047440A" w:rsidP="00357A1E">
      <w:pPr>
        <w:jc w:val="both"/>
        <w:rPr>
          <w:rFonts w:ascii="Arial" w:hAnsi="Arial" w:cs="Arial"/>
          <w:b/>
          <w:sz w:val="24"/>
          <w:szCs w:val="24"/>
          <w:lang w:val="es-PR"/>
        </w:rPr>
      </w:pPr>
      <w:r w:rsidRPr="00A22A56">
        <w:rPr>
          <w:rFonts w:ascii="Arial" w:hAnsi="Arial" w:cs="Arial"/>
          <w:b/>
          <w:sz w:val="24"/>
          <w:szCs w:val="24"/>
          <w:lang w:val="es-PR"/>
        </w:rPr>
        <w:t xml:space="preserve">Las </w:t>
      </w:r>
      <w:r w:rsidR="00CC6AD7" w:rsidRPr="00A22A56">
        <w:rPr>
          <w:rFonts w:ascii="Arial" w:hAnsi="Arial" w:cs="Arial"/>
          <w:b/>
          <w:sz w:val="24"/>
          <w:szCs w:val="24"/>
          <w:lang w:val="es-PR"/>
        </w:rPr>
        <w:t>más relevantes:</w:t>
      </w:r>
    </w:p>
    <w:p w:rsidR="0034369C" w:rsidRPr="00A22A56" w:rsidRDefault="0034369C" w:rsidP="0034369C">
      <w:pPr>
        <w:pStyle w:val="ListParagraph"/>
        <w:numPr>
          <w:ilvl w:val="0"/>
          <w:numId w:val="11"/>
        </w:numPr>
        <w:autoSpaceDE w:val="0"/>
        <w:autoSpaceDN w:val="0"/>
        <w:adjustRightInd w:val="0"/>
        <w:spacing w:after="0" w:line="240" w:lineRule="auto"/>
        <w:jc w:val="both"/>
        <w:rPr>
          <w:rFonts w:ascii="Arial" w:hAnsi="Arial" w:cs="Arial"/>
          <w:b/>
          <w:color w:val="FF0000"/>
          <w:sz w:val="24"/>
          <w:szCs w:val="24"/>
          <w:lang w:val="es-PR"/>
        </w:rPr>
      </w:pPr>
      <w:r w:rsidRPr="00A22A56">
        <w:rPr>
          <w:rFonts w:ascii="Arial" w:hAnsi="Arial" w:cs="Arial"/>
          <w:sz w:val="24"/>
          <w:szCs w:val="24"/>
          <w:lang w:val="es-PR"/>
        </w:rPr>
        <w:t xml:space="preserve">Se implantó el magno Proyecto AITSA. A este momento, 90 cooperativas están utilizando la automatización del Informe Trimestral y Sistema Actuarial, consiguiendo así, someter sus informes trimestrales de forma rápida y certera. </w:t>
      </w:r>
    </w:p>
    <w:p w:rsidR="0034369C" w:rsidRPr="00A22A56" w:rsidRDefault="0034369C" w:rsidP="0034369C">
      <w:pPr>
        <w:autoSpaceDE w:val="0"/>
        <w:autoSpaceDN w:val="0"/>
        <w:adjustRightInd w:val="0"/>
        <w:spacing w:after="0" w:line="240" w:lineRule="auto"/>
        <w:rPr>
          <w:rFonts w:ascii="Arial" w:hAnsi="Arial" w:cs="Arial"/>
          <w:color w:val="2E74B5" w:themeColor="accent1" w:themeShade="BF"/>
          <w:sz w:val="24"/>
          <w:szCs w:val="24"/>
          <w:lang w:val="es-PR"/>
        </w:rPr>
      </w:pPr>
    </w:p>
    <w:p w:rsidR="0034369C" w:rsidRPr="00A22A56" w:rsidRDefault="0034369C" w:rsidP="0034369C">
      <w:pPr>
        <w:pStyle w:val="ListParagraph"/>
        <w:numPr>
          <w:ilvl w:val="0"/>
          <w:numId w:val="11"/>
        </w:numPr>
        <w:autoSpaceDE w:val="0"/>
        <w:autoSpaceDN w:val="0"/>
        <w:adjustRightInd w:val="0"/>
        <w:spacing w:after="0" w:line="240" w:lineRule="auto"/>
        <w:jc w:val="both"/>
        <w:rPr>
          <w:rFonts w:ascii="Arial" w:hAnsi="Arial" w:cs="Arial"/>
          <w:sz w:val="24"/>
          <w:szCs w:val="24"/>
          <w:lang w:val="es-PR"/>
        </w:rPr>
      </w:pPr>
      <w:r w:rsidRPr="00A22A56">
        <w:rPr>
          <w:rFonts w:ascii="Arial" w:hAnsi="Arial" w:cs="Arial"/>
          <w:sz w:val="24"/>
          <w:szCs w:val="24"/>
          <w:lang w:val="es-PR"/>
        </w:rPr>
        <w:t>Iniciamos la fase 3 del Proyecto Sistema de Inteligencia de Negocio del método AITSA (</w:t>
      </w:r>
      <w:r w:rsidRPr="00A22A56">
        <w:rPr>
          <w:rFonts w:ascii="Arial" w:hAnsi="Arial" w:cs="Arial"/>
          <w:i/>
          <w:sz w:val="24"/>
          <w:szCs w:val="24"/>
          <w:lang w:val="es-PR"/>
        </w:rPr>
        <w:t>Business Intelligence</w:t>
      </w:r>
      <w:r w:rsidRPr="00A22A56">
        <w:rPr>
          <w:rFonts w:ascii="Arial" w:hAnsi="Arial" w:cs="Arial"/>
          <w:sz w:val="24"/>
          <w:szCs w:val="24"/>
          <w:lang w:val="es-PR"/>
        </w:rPr>
        <w:t>) para el análisis de datos y la creación de estrategias de negocio como servicio para todas las Cooperativas de Ahorro y Crédito del País</w:t>
      </w:r>
      <w:r w:rsidRPr="00A22A56">
        <w:rPr>
          <w:rFonts w:ascii="Arial" w:hAnsi="Arial" w:cs="Arial"/>
          <w:b/>
          <w:color w:val="808080" w:themeColor="background1" w:themeShade="80"/>
          <w:sz w:val="24"/>
          <w:szCs w:val="24"/>
          <w:lang w:val="es-PR"/>
        </w:rPr>
        <w:t>.</w:t>
      </w:r>
      <w:r w:rsidRPr="00A22A56">
        <w:rPr>
          <w:rFonts w:ascii="Arial" w:hAnsi="Arial" w:cs="Arial"/>
          <w:b/>
          <w:color w:val="FF0000"/>
          <w:sz w:val="24"/>
          <w:szCs w:val="24"/>
          <w:lang w:val="es-PR"/>
        </w:rPr>
        <w:t xml:space="preserve">  </w:t>
      </w:r>
    </w:p>
    <w:p w:rsidR="0034369C" w:rsidRPr="00A22A56" w:rsidRDefault="0034369C" w:rsidP="0034369C">
      <w:pPr>
        <w:pStyle w:val="ListParagraph"/>
        <w:autoSpaceDE w:val="0"/>
        <w:autoSpaceDN w:val="0"/>
        <w:adjustRightInd w:val="0"/>
        <w:spacing w:after="0" w:line="240" w:lineRule="auto"/>
        <w:rPr>
          <w:rFonts w:ascii="Arial" w:hAnsi="Arial" w:cs="Arial"/>
          <w:color w:val="FF0000"/>
          <w:sz w:val="24"/>
          <w:szCs w:val="24"/>
          <w:lang w:val="es-PR"/>
        </w:rPr>
      </w:pPr>
    </w:p>
    <w:p w:rsidR="0034369C" w:rsidRPr="00A22A56" w:rsidRDefault="0034369C" w:rsidP="0034369C">
      <w:pPr>
        <w:pStyle w:val="ListParagraph"/>
        <w:numPr>
          <w:ilvl w:val="0"/>
          <w:numId w:val="11"/>
        </w:numPr>
        <w:autoSpaceDE w:val="0"/>
        <w:autoSpaceDN w:val="0"/>
        <w:adjustRightInd w:val="0"/>
        <w:spacing w:after="0" w:line="240" w:lineRule="auto"/>
        <w:jc w:val="both"/>
        <w:rPr>
          <w:rFonts w:ascii="Arial" w:hAnsi="Arial" w:cs="Arial"/>
          <w:sz w:val="24"/>
          <w:szCs w:val="24"/>
          <w:lang w:val="es-PR"/>
        </w:rPr>
      </w:pPr>
      <w:r w:rsidRPr="00A22A56">
        <w:rPr>
          <w:rFonts w:ascii="Arial" w:hAnsi="Arial" w:cs="Arial"/>
          <w:sz w:val="24"/>
          <w:szCs w:val="24"/>
          <w:lang w:val="es-PR"/>
        </w:rPr>
        <w:t xml:space="preserve">Asimismo, construimos el sistema Actuarial, el cual es parte del Proyecto AITSA.  Este sistema nos permitirá agilizar los procesos de cálculo de los indicadores financieros utilizados por los Actuarios para el cálculo de MERIF (Medida de Riesgo Financiero).  Además, nos permite establecer parámetros de medición de riesgos adicionales, mediante la creación y cálculos de indicadores financieros suplementarios específicamente creados para las operaciones de las cooperativas de ahorro y crédito. </w:t>
      </w:r>
    </w:p>
    <w:p w:rsidR="0034369C" w:rsidRPr="00A22A56" w:rsidRDefault="0034369C" w:rsidP="0034369C">
      <w:pPr>
        <w:autoSpaceDE w:val="0"/>
        <w:autoSpaceDN w:val="0"/>
        <w:adjustRightInd w:val="0"/>
        <w:spacing w:after="0" w:line="240" w:lineRule="auto"/>
        <w:rPr>
          <w:rFonts w:ascii="Arial" w:hAnsi="Arial" w:cs="Arial"/>
          <w:sz w:val="24"/>
          <w:szCs w:val="24"/>
          <w:lang w:val="es-PR"/>
        </w:rPr>
      </w:pPr>
    </w:p>
    <w:p w:rsidR="0034369C" w:rsidRPr="00A22A56" w:rsidRDefault="0034369C" w:rsidP="0034369C">
      <w:pPr>
        <w:pStyle w:val="ListParagraph"/>
        <w:numPr>
          <w:ilvl w:val="0"/>
          <w:numId w:val="11"/>
        </w:numPr>
        <w:autoSpaceDE w:val="0"/>
        <w:autoSpaceDN w:val="0"/>
        <w:adjustRightInd w:val="0"/>
        <w:spacing w:after="0" w:line="240" w:lineRule="auto"/>
        <w:jc w:val="both"/>
        <w:rPr>
          <w:rFonts w:ascii="Arial" w:hAnsi="Arial" w:cs="Arial"/>
          <w:sz w:val="24"/>
          <w:szCs w:val="24"/>
          <w:lang w:val="es-PR"/>
        </w:rPr>
      </w:pPr>
      <w:r w:rsidRPr="00A22A56">
        <w:rPr>
          <w:rFonts w:ascii="Arial" w:hAnsi="Arial" w:cs="Arial"/>
          <w:sz w:val="24"/>
          <w:szCs w:val="24"/>
          <w:lang w:val="es-PR"/>
        </w:rPr>
        <w:t>Diseñamos e instituimos el Programa de Capacitación y Desarrollo de la COSSEC. A través del mismo, se implementaron servicios de capacitación y desarrollo de destrezas dirigidos al personal gerencial de las cooperativas, incluyendo oficiales, ejecutivos y miembros de juntas de directores. El currículo de temas fue relacionado con: mitigación de riesgos, préstamos con dificultades y reestructuración, contabilidad de inversiones, controles internos y fraude, préstamos a oficiales y directores, cumplimiento y manejo de riesgos operacionales y tecnológicos. Asimismo, se crearon alianzas con instituciones educativas y grupos especializados en temas particulares del sector cooperativista.</w:t>
      </w:r>
    </w:p>
    <w:p w:rsidR="0034369C" w:rsidRPr="00A22A56" w:rsidRDefault="0034369C" w:rsidP="0034369C">
      <w:pPr>
        <w:autoSpaceDE w:val="0"/>
        <w:autoSpaceDN w:val="0"/>
        <w:adjustRightInd w:val="0"/>
        <w:spacing w:after="0" w:line="240" w:lineRule="auto"/>
        <w:jc w:val="both"/>
        <w:rPr>
          <w:rFonts w:ascii="Arial" w:hAnsi="Arial" w:cs="Arial"/>
          <w:sz w:val="24"/>
          <w:szCs w:val="24"/>
          <w:lang w:val="es-PR"/>
        </w:rPr>
      </w:pPr>
    </w:p>
    <w:p w:rsidR="006A3C24" w:rsidRDefault="0034369C" w:rsidP="006A3C24">
      <w:pPr>
        <w:pStyle w:val="NormalWeb"/>
        <w:numPr>
          <w:ilvl w:val="0"/>
          <w:numId w:val="11"/>
        </w:numPr>
        <w:spacing w:line="300" w:lineRule="atLeast"/>
        <w:jc w:val="both"/>
        <w:rPr>
          <w:rFonts w:ascii="Arial" w:hAnsi="Arial" w:cs="Arial"/>
          <w:lang w:val="es-PR"/>
        </w:rPr>
      </w:pPr>
      <w:r w:rsidRPr="00A22A56">
        <w:rPr>
          <w:rFonts w:ascii="Arial" w:hAnsi="Arial" w:cs="Arial"/>
          <w:lang w:val="es-PR"/>
        </w:rPr>
        <w:t>Proveímos estructuras cooperativas, además de viabilizar la integración económica del sector de ahorro y crédito con otros sectores productores.  Simultáneamente, proporcionamos educación a los empleados de las cooperativas sobre argumentos de fortalecimiento financiero y aspectos económicos.</w:t>
      </w:r>
    </w:p>
    <w:p w:rsidR="008A34CE" w:rsidRDefault="008A34CE" w:rsidP="008A34CE">
      <w:pPr>
        <w:pStyle w:val="ListParagraph"/>
        <w:rPr>
          <w:rFonts w:ascii="Arial" w:hAnsi="Arial" w:cs="Arial"/>
          <w:lang w:val="es-PR"/>
        </w:rPr>
      </w:pPr>
    </w:p>
    <w:p w:rsidR="004D7AFB" w:rsidRPr="00033BA2" w:rsidRDefault="004D7AFB" w:rsidP="006A3C24">
      <w:pPr>
        <w:pStyle w:val="ListParagraph"/>
        <w:numPr>
          <w:ilvl w:val="0"/>
          <w:numId w:val="11"/>
        </w:numPr>
        <w:autoSpaceDE w:val="0"/>
        <w:autoSpaceDN w:val="0"/>
        <w:adjustRightInd w:val="0"/>
        <w:spacing w:after="0" w:line="240" w:lineRule="auto"/>
        <w:jc w:val="both"/>
        <w:rPr>
          <w:rFonts w:ascii="Arial" w:hAnsi="Arial" w:cs="Arial"/>
          <w:sz w:val="24"/>
          <w:szCs w:val="24"/>
          <w:lang w:val="es-PR"/>
        </w:rPr>
      </w:pPr>
      <w:r w:rsidRPr="00033BA2">
        <w:rPr>
          <w:rFonts w:ascii="Arial" w:hAnsi="Arial" w:cs="Arial"/>
          <w:sz w:val="24"/>
          <w:szCs w:val="24"/>
          <w:lang w:val="es-PR"/>
        </w:rPr>
        <w:t>Logramos ahorros en todos los presupuestos de gastos aprobados desde el 201</w:t>
      </w:r>
      <w:r w:rsidR="00033BA2" w:rsidRPr="00033BA2">
        <w:rPr>
          <w:rFonts w:ascii="Arial" w:hAnsi="Arial" w:cs="Arial"/>
          <w:sz w:val="24"/>
          <w:szCs w:val="24"/>
          <w:lang w:val="es-PR"/>
        </w:rPr>
        <w:t>3</w:t>
      </w:r>
      <w:r w:rsidRPr="00033BA2">
        <w:rPr>
          <w:rFonts w:ascii="Arial" w:hAnsi="Arial" w:cs="Arial"/>
          <w:sz w:val="24"/>
          <w:szCs w:val="24"/>
          <w:lang w:val="es-PR"/>
        </w:rPr>
        <w:t xml:space="preserve"> hasta el proyectado al 2016</w:t>
      </w:r>
    </w:p>
    <w:p w:rsidR="00FD3A20" w:rsidRDefault="00FD3A20" w:rsidP="0034369C">
      <w:pPr>
        <w:pStyle w:val="NormalWeb"/>
        <w:spacing w:line="300" w:lineRule="atLeast"/>
        <w:jc w:val="both"/>
        <w:rPr>
          <w:rFonts w:ascii="Arial" w:hAnsi="Arial" w:cs="Arial"/>
          <w:b/>
          <w:u w:val="single"/>
          <w:lang w:val="es-PR"/>
        </w:rPr>
      </w:pPr>
    </w:p>
    <w:p w:rsidR="0034369C" w:rsidRPr="00A22A56" w:rsidRDefault="0034369C" w:rsidP="0034369C">
      <w:pPr>
        <w:pStyle w:val="NormalWeb"/>
        <w:spacing w:line="300" w:lineRule="atLeast"/>
        <w:jc w:val="both"/>
        <w:rPr>
          <w:rFonts w:ascii="Arial" w:hAnsi="Arial" w:cs="Arial"/>
          <w:b/>
          <w:u w:val="single"/>
          <w:lang w:val="es-PR"/>
        </w:rPr>
      </w:pPr>
      <w:r w:rsidRPr="00A22A56">
        <w:rPr>
          <w:rFonts w:ascii="Arial" w:hAnsi="Arial" w:cs="Arial"/>
          <w:b/>
          <w:u w:val="single"/>
          <w:lang w:val="es-PR"/>
        </w:rPr>
        <w:lastRenderedPageBreak/>
        <w:t>En el área de inversiones logramos:</w:t>
      </w:r>
    </w:p>
    <w:p w:rsidR="0034369C" w:rsidRPr="00A22A56" w:rsidRDefault="0034369C" w:rsidP="0034369C">
      <w:pPr>
        <w:pStyle w:val="ListParagraph"/>
        <w:numPr>
          <w:ilvl w:val="0"/>
          <w:numId w:val="12"/>
        </w:numPr>
        <w:spacing w:after="0" w:line="240" w:lineRule="auto"/>
        <w:contextualSpacing w:val="0"/>
        <w:rPr>
          <w:rFonts w:ascii="Arial" w:hAnsi="Arial" w:cs="Arial"/>
          <w:sz w:val="24"/>
          <w:szCs w:val="24"/>
          <w:lang w:val="es-PR"/>
        </w:rPr>
      </w:pPr>
      <w:r w:rsidRPr="00A22A56">
        <w:rPr>
          <w:rFonts w:ascii="Arial" w:hAnsi="Arial" w:cs="Arial"/>
          <w:sz w:val="24"/>
          <w:szCs w:val="24"/>
          <w:lang w:val="es-PR"/>
        </w:rPr>
        <w:t>Aumento de 22.1 millones en el porfolio de inversiones.</w:t>
      </w:r>
    </w:p>
    <w:p w:rsidR="0034369C" w:rsidRPr="00A22A56" w:rsidRDefault="0034369C" w:rsidP="0034369C">
      <w:pPr>
        <w:pStyle w:val="ListParagraph"/>
        <w:numPr>
          <w:ilvl w:val="0"/>
          <w:numId w:val="12"/>
        </w:numPr>
        <w:spacing w:after="0" w:line="240" w:lineRule="auto"/>
        <w:contextualSpacing w:val="0"/>
        <w:rPr>
          <w:rFonts w:ascii="Arial" w:hAnsi="Arial" w:cs="Arial"/>
          <w:sz w:val="24"/>
          <w:szCs w:val="24"/>
          <w:lang w:val="es-PR"/>
        </w:rPr>
      </w:pPr>
      <w:r w:rsidRPr="00A22A56">
        <w:rPr>
          <w:rFonts w:ascii="Arial" w:hAnsi="Arial" w:cs="Arial"/>
          <w:sz w:val="24"/>
          <w:szCs w:val="24"/>
          <w:lang w:val="es-PR"/>
        </w:rPr>
        <w:t>Ganancia en las ventas de inversiones de $2.6 millones.</w:t>
      </w:r>
    </w:p>
    <w:p w:rsidR="0034369C" w:rsidRPr="00A22A56" w:rsidRDefault="0034369C" w:rsidP="0034369C">
      <w:pPr>
        <w:pStyle w:val="ListParagraph"/>
        <w:numPr>
          <w:ilvl w:val="0"/>
          <w:numId w:val="12"/>
        </w:numPr>
        <w:spacing w:after="0" w:line="240" w:lineRule="auto"/>
        <w:contextualSpacing w:val="0"/>
        <w:rPr>
          <w:rFonts w:ascii="Arial" w:hAnsi="Arial" w:cs="Arial"/>
          <w:sz w:val="24"/>
          <w:szCs w:val="24"/>
          <w:lang w:val="es-PR"/>
        </w:rPr>
      </w:pPr>
      <w:r w:rsidRPr="00A22A56">
        <w:rPr>
          <w:rFonts w:ascii="Arial" w:hAnsi="Arial" w:cs="Arial"/>
          <w:sz w:val="24"/>
          <w:szCs w:val="24"/>
          <w:lang w:val="es-PR"/>
        </w:rPr>
        <w:t>Aumento de A a  A+ en la clasificación crediticia del porfolio de inversiones.</w:t>
      </w:r>
    </w:p>
    <w:p w:rsidR="0034369C" w:rsidRPr="00A22A56" w:rsidRDefault="0034369C" w:rsidP="0034369C">
      <w:pPr>
        <w:pStyle w:val="ListParagraph"/>
        <w:numPr>
          <w:ilvl w:val="0"/>
          <w:numId w:val="12"/>
        </w:numPr>
        <w:spacing w:after="0" w:line="240" w:lineRule="auto"/>
        <w:contextualSpacing w:val="0"/>
        <w:rPr>
          <w:rFonts w:ascii="Arial" w:hAnsi="Arial" w:cs="Arial"/>
          <w:sz w:val="24"/>
          <w:szCs w:val="24"/>
          <w:lang w:val="es-PR"/>
        </w:rPr>
      </w:pPr>
      <w:r w:rsidRPr="00A22A56">
        <w:rPr>
          <w:rFonts w:ascii="Arial" w:hAnsi="Arial" w:cs="Arial"/>
          <w:sz w:val="24"/>
          <w:szCs w:val="24"/>
          <w:lang w:val="es-PR"/>
        </w:rPr>
        <w:t xml:space="preserve">Reducción en la Duración de la Cartera de Inversiones de 5.18 a 4.09. </w:t>
      </w:r>
    </w:p>
    <w:p w:rsidR="0034369C" w:rsidRPr="00A22A56" w:rsidRDefault="0034369C" w:rsidP="0034369C">
      <w:pPr>
        <w:pStyle w:val="ListParagraph"/>
        <w:numPr>
          <w:ilvl w:val="0"/>
          <w:numId w:val="12"/>
        </w:numPr>
        <w:spacing w:after="0" w:line="240" w:lineRule="auto"/>
        <w:contextualSpacing w:val="0"/>
        <w:rPr>
          <w:rFonts w:ascii="Arial" w:hAnsi="Arial" w:cs="Arial"/>
          <w:sz w:val="24"/>
          <w:szCs w:val="24"/>
          <w:lang w:val="es-PR"/>
        </w:rPr>
      </w:pPr>
      <w:r w:rsidRPr="00A22A56">
        <w:rPr>
          <w:rFonts w:ascii="Arial" w:hAnsi="Arial" w:cs="Arial"/>
          <w:sz w:val="24"/>
          <w:szCs w:val="24"/>
          <w:lang w:val="es-PR"/>
        </w:rPr>
        <w:t>Aumento en los ingresos de intereses.</w:t>
      </w:r>
    </w:p>
    <w:p w:rsidR="0034369C" w:rsidRPr="00A22A56" w:rsidRDefault="00855147" w:rsidP="0034369C">
      <w:pPr>
        <w:pStyle w:val="NormalWeb"/>
        <w:spacing w:line="300" w:lineRule="atLeast"/>
        <w:jc w:val="both"/>
        <w:rPr>
          <w:rFonts w:ascii="Arial" w:hAnsi="Arial" w:cs="Arial"/>
          <w:b/>
          <w:u w:val="single"/>
          <w:lang w:val="es-PR"/>
        </w:rPr>
      </w:pPr>
      <w:r w:rsidRPr="00A22A56">
        <w:rPr>
          <w:rFonts w:ascii="Arial" w:hAnsi="Arial" w:cs="Arial"/>
          <w:b/>
          <w:u w:val="single"/>
          <w:lang w:val="es-PR"/>
        </w:rPr>
        <w:t>D</w:t>
      </w:r>
      <w:r w:rsidR="0034369C" w:rsidRPr="00A22A56">
        <w:rPr>
          <w:rFonts w:ascii="Arial" w:hAnsi="Arial" w:cs="Arial"/>
          <w:b/>
          <w:u w:val="single"/>
          <w:lang w:val="es-PR"/>
        </w:rPr>
        <w:t xml:space="preserve">etallo resultados operacionales: </w:t>
      </w:r>
    </w:p>
    <w:p w:rsidR="0034369C" w:rsidRPr="00A22A56" w:rsidRDefault="0034369C" w:rsidP="00600EE0">
      <w:pPr>
        <w:pStyle w:val="ListParagraph"/>
        <w:numPr>
          <w:ilvl w:val="0"/>
          <w:numId w:val="12"/>
        </w:numPr>
        <w:spacing w:after="0" w:line="240" w:lineRule="auto"/>
        <w:contextualSpacing w:val="0"/>
        <w:jc w:val="both"/>
        <w:rPr>
          <w:rFonts w:ascii="Arial" w:hAnsi="Arial" w:cs="Arial"/>
          <w:sz w:val="24"/>
          <w:szCs w:val="24"/>
          <w:lang w:val="es-PR"/>
        </w:rPr>
      </w:pPr>
      <w:r w:rsidRPr="00A22A56">
        <w:rPr>
          <w:rFonts w:ascii="Arial" w:hAnsi="Arial" w:cs="Arial"/>
          <w:sz w:val="24"/>
          <w:szCs w:val="24"/>
          <w:lang w:val="es-PR"/>
        </w:rPr>
        <w:t xml:space="preserve">Al 30 de junio de 2016, los activos totales de la Corporación sumaban $264.3 millones. Esto implica un aumento de $18.90 millones en comparación con la cifra alcanzada el pasado año, la que </w:t>
      </w:r>
      <w:r w:rsidR="00354B6D" w:rsidRPr="00A22A56">
        <w:rPr>
          <w:rFonts w:ascii="Arial" w:hAnsi="Arial" w:cs="Arial"/>
          <w:sz w:val="24"/>
          <w:szCs w:val="24"/>
          <w:lang w:val="es-PR"/>
        </w:rPr>
        <w:t>obtuvo</w:t>
      </w:r>
      <w:r w:rsidRPr="00A22A56">
        <w:rPr>
          <w:rFonts w:ascii="Arial" w:hAnsi="Arial" w:cs="Arial"/>
          <w:sz w:val="24"/>
          <w:szCs w:val="24"/>
          <w:lang w:val="es-PR"/>
        </w:rPr>
        <w:t xml:space="preserve"> $245.4 millones. </w:t>
      </w:r>
    </w:p>
    <w:p w:rsidR="0034369C" w:rsidRPr="00A22A56" w:rsidRDefault="0034369C" w:rsidP="00600EE0">
      <w:pPr>
        <w:pStyle w:val="ListParagraph"/>
        <w:numPr>
          <w:ilvl w:val="0"/>
          <w:numId w:val="12"/>
        </w:numPr>
        <w:spacing w:after="0" w:line="240" w:lineRule="auto"/>
        <w:contextualSpacing w:val="0"/>
        <w:jc w:val="both"/>
        <w:rPr>
          <w:rFonts w:ascii="Arial" w:hAnsi="Arial" w:cs="Arial"/>
          <w:sz w:val="24"/>
          <w:szCs w:val="24"/>
          <w:lang w:val="es-PR"/>
        </w:rPr>
      </w:pPr>
      <w:r w:rsidRPr="00A22A56">
        <w:rPr>
          <w:rFonts w:ascii="Arial" w:hAnsi="Arial" w:cs="Arial"/>
          <w:sz w:val="24"/>
          <w:szCs w:val="24"/>
          <w:lang w:val="es-PR"/>
        </w:rPr>
        <w:t xml:space="preserve">Del total de activos al 30 de junio de 2016, el 99% o $261.3 millones conciernen a activos líquidos. El aumento en esta área correspondió a gestiones eficaces, realizadas en las inversiones a corto y largo plazo. El año anterior, esa cifra de activos líquidos representó la cantidad de $242.3 millones. </w:t>
      </w:r>
    </w:p>
    <w:p w:rsidR="0034369C" w:rsidRPr="00A22A56" w:rsidRDefault="0034369C" w:rsidP="0034369C">
      <w:pPr>
        <w:jc w:val="both"/>
        <w:rPr>
          <w:rFonts w:ascii="Arial" w:hAnsi="Arial" w:cs="Arial"/>
          <w:sz w:val="24"/>
          <w:szCs w:val="24"/>
          <w:lang w:val="es-PR"/>
        </w:rPr>
      </w:pPr>
    </w:p>
    <w:p w:rsidR="0034369C" w:rsidRPr="00A22A56" w:rsidRDefault="0034369C" w:rsidP="0034369C">
      <w:pPr>
        <w:jc w:val="both"/>
        <w:rPr>
          <w:rFonts w:ascii="Arial" w:hAnsi="Arial" w:cs="Arial"/>
          <w:sz w:val="24"/>
          <w:szCs w:val="24"/>
          <w:lang w:val="es-PR"/>
        </w:rPr>
      </w:pPr>
      <w:r w:rsidRPr="00A22A56">
        <w:rPr>
          <w:rFonts w:ascii="Arial" w:hAnsi="Arial" w:cs="Arial"/>
          <w:sz w:val="24"/>
          <w:szCs w:val="24"/>
          <w:lang w:val="es-PR"/>
        </w:rPr>
        <w:t xml:space="preserve">De otra parte, la alta proporción de activos líquidos, a activos totales, es resultado de una de las misiones más importantes de la Corporación, el ofrecimiento del seguro de acciones y depósitos de las cooperativas hasta $250 mil. </w:t>
      </w:r>
    </w:p>
    <w:p w:rsidR="00A47F15" w:rsidRPr="00A22A56" w:rsidRDefault="00A47F15" w:rsidP="00A47F15">
      <w:pPr>
        <w:jc w:val="both"/>
        <w:rPr>
          <w:rFonts w:ascii="Arial" w:hAnsi="Arial" w:cs="Arial"/>
          <w:sz w:val="24"/>
          <w:szCs w:val="24"/>
          <w:lang w:val="es-PR"/>
        </w:rPr>
      </w:pPr>
      <w:r w:rsidRPr="00A22A56">
        <w:rPr>
          <w:rFonts w:ascii="Arial" w:hAnsi="Arial" w:cs="Arial"/>
          <w:sz w:val="24"/>
          <w:szCs w:val="24"/>
          <w:lang w:val="es-PR"/>
        </w:rPr>
        <w:t xml:space="preserve">Por último, y no menos importante, tras la aprobación por parte de la Junta de Directores, crearemos el Área de Análisis y Prevención de Riesgo para las Cooperativas de Ahorro y Crédito. El fundamento y propósito primordial es asegurar una supervisión y fiscalización justa y confiable, enfocada en la prevención. Se desarrollarán procesos para observar cada cooperativa, circunscribiendo la condición económica, análisis financiero de liquidez, inversiones, estructura de capital, morosidad, </w:t>
      </w:r>
      <w:r w:rsidRPr="00A22A56">
        <w:rPr>
          <w:rFonts w:ascii="Arial" w:hAnsi="Arial" w:cs="Arial"/>
          <w:i/>
          <w:sz w:val="24"/>
          <w:szCs w:val="24"/>
          <w:lang w:val="es-PR"/>
        </w:rPr>
        <w:t>stress test</w:t>
      </w:r>
      <w:r w:rsidRPr="00A22A56">
        <w:rPr>
          <w:rFonts w:ascii="Arial" w:hAnsi="Arial" w:cs="Arial"/>
          <w:sz w:val="24"/>
          <w:szCs w:val="24"/>
          <w:lang w:val="es-PR"/>
        </w:rPr>
        <w:t xml:space="preserve">, entre otros. </w:t>
      </w:r>
    </w:p>
    <w:p w:rsidR="00654BE8" w:rsidRPr="00A22A56" w:rsidRDefault="00654BE8" w:rsidP="00357A1E">
      <w:pPr>
        <w:jc w:val="both"/>
        <w:rPr>
          <w:rFonts w:ascii="Arial" w:hAnsi="Arial" w:cs="Arial"/>
          <w:sz w:val="24"/>
          <w:szCs w:val="24"/>
          <w:lang w:val="es-PR"/>
        </w:rPr>
      </w:pPr>
      <w:r w:rsidRPr="00A22A56">
        <w:rPr>
          <w:rFonts w:ascii="Arial" w:hAnsi="Arial" w:cs="Arial"/>
          <w:sz w:val="24"/>
          <w:szCs w:val="24"/>
          <w:lang w:val="es-PR"/>
        </w:rPr>
        <w:t>Esperamos que la información brindada contribuya al proceso de la transición. De requerir datos adicionales o aclarar alguno de los puntos incluidos estamos en la mejor disposición de colaborar.</w:t>
      </w:r>
    </w:p>
    <w:p w:rsidR="00654BE8" w:rsidRPr="00A22A56" w:rsidRDefault="00654BE8" w:rsidP="00357A1E">
      <w:pPr>
        <w:jc w:val="both"/>
        <w:rPr>
          <w:rFonts w:ascii="Arial" w:hAnsi="Arial" w:cs="Arial"/>
          <w:sz w:val="24"/>
          <w:szCs w:val="24"/>
          <w:lang w:val="es-PR"/>
        </w:rPr>
      </w:pPr>
    </w:p>
    <w:p w:rsidR="001F59E5" w:rsidRPr="00A22A56" w:rsidRDefault="001F59E5" w:rsidP="00357A1E">
      <w:pPr>
        <w:jc w:val="both"/>
        <w:rPr>
          <w:rFonts w:ascii="Arial" w:hAnsi="Arial" w:cs="Arial"/>
          <w:sz w:val="24"/>
          <w:szCs w:val="24"/>
          <w:lang w:val="es-PR"/>
        </w:rPr>
      </w:pPr>
    </w:p>
    <w:p w:rsidR="001F59E5" w:rsidRPr="00A22A56" w:rsidRDefault="001F59E5" w:rsidP="00357A1E">
      <w:pPr>
        <w:jc w:val="both"/>
        <w:rPr>
          <w:rFonts w:ascii="Arial" w:hAnsi="Arial" w:cs="Arial"/>
          <w:sz w:val="24"/>
          <w:szCs w:val="24"/>
          <w:lang w:val="es-PR"/>
        </w:rPr>
      </w:pPr>
      <w:r w:rsidRPr="00A22A56">
        <w:rPr>
          <w:rFonts w:ascii="Arial" w:hAnsi="Arial" w:cs="Arial"/>
          <w:sz w:val="24"/>
          <w:szCs w:val="24"/>
          <w:lang w:val="es-PR"/>
        </w:rPr>
        <w:t>__________________________________________</w:t>
      </w:r>
    </w:p>
    <w:p w:rsidR="001F59E5" w:rsidRPr="00A22A56" w:rsidRDefault="001F59E5" w:rsidP="00357A1E">
      <w:pPr>
        <w:jc w:val="both"/>
        <w:rPr>
          <w:rFonts w:ascii="Arial" w:hAnsi="Arial" w:cs="Arial"/>
          <w:sz w:val="24"/>
          <w:szCs w:val="24"/>
          <w:lang w:val="es-PR"/>
        </w:rPr>
      </w:pPr>
      <w:r w:rsidRPr="00A22A56">
        <w:rPr>
          <w:rFonts w:ascii="Arial" w:hAnsi="Arial" w:cs="Arial"/>
          <w:sz w:val="24"/>
          <w:szCs w:val="24"/>
          <w:lang w:val="es-PR"/>
        </w:rPr>
        <w:t>Sergio Ortiz Quiñones</w:t>
      </w:r>
    </w:p>
    <w:p w:rsidR="001F59E5" w:rsidRPr="00A22A56" w:rsidRDefault="001F59E5" w:rsidP="00357A1E">
      <w:pPr>
        <w:jc w:val="both"/>
        <w:rPr>
          <w:rFonts w:ascii="Arial" w:hAnsi="Arial" w:cs="Arial"/>
          <w:sz w:val="24"/>
          <w:szCs w:val="24"/>
          <w:lang w:val="es-PR"/>
        </w:rPr>
      </w:pPr>
      <w:r w:rsidRPr="00A22A56">
        <w:rPr>
          <w:rFonts w:ascii="Arial" w:hAnsi="Arial" w:cs="Arial"/>
          <w:sz w:val="24"/>
          <w:szCs w:val="24"/>
          <w:lang w:val="es-PR"/>
        </w:rPr>
        <w:t xml:space="preserve">Presidente Ejecutivo </w:t>
      </w:r>
      <w:r w:rsidR="003A6B53">
        <w:rPr>
          <w:rFonts w:ascii="Arial" w:hAnsi="Arial" w:cs="Arial"/>
          <w:sz w:val="24"/>
          <w:szCs w:val="24"/>
          <w:lang w:val="es-PR"/>
        </w:rPr>
        <w:t>Interino</w:t>
      </w:r>
    </w:p>
    <w:p w:rsidR="001F59E5" w:rsidRPr="00A22A56" w:rsidRDefault="001F59E5" w:rsidP="00357A1E">
      <w:pPr>
        <w:jc w:val="both"/>
        <w:rPr>
          <w:rFonts w:ascii="Arial" w:hAnsi="Arial" w:cs="Arial"/>
          <w:sz w:val="24"/>
          <w:szCs w:val="24"/>
          <w:lang w:val="es-PR"/>
        </w:rPr>
      </w:pPr>
      <w:r w:rsidRPr="00A22A56">
        <w:rPr>
          <w:rFonts w:ascii="Arial" w:hAnsi="Arial" w:cs="Arial"/>
          <w:sz w:val="24"/>
          <w:szCs w:val="24"/>
          <w:lang w:val="es-PR"/>
        </w:rPr>
        <w:t>Anejos</w:t>
      </w:r>
      <w:bookmarkStart w:id="6" w:name="_GoBack"/>
      <w:bookmarkEnd w:id="6"/>
    </w:p>
    <w:p w:rsidR="00654BE8" w:rsidRPr="00A22A56" w:rsidRDefault="00654BE8" w:rsidP="00357A1E">
      <w:pPr>
        <w:jc w:val="both"/>
        <w:rPr>
          <w:rFonts w:ascii="Arial" w:hAnsi="Arial" w:cs="Arial"/>
          <w:sz w:val="24"/>
          <w:szCs w:val="24"/>
          <w:lang w:val="es-PR"/>
        </w:rPr>
      </w:pPr>
    </w:p>
    <w:sectPr w:rsidR="00654BE8" w:rsidRPr="00A22A56" w:rsidSect="00C33633">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CD" w:rsidRDefault="007041CD" w:rsidP="00F36461">
      <w:pPr>
        <w:spacing w:after="0" w:line="240" w:lineRule="auto"/>
      </w:pPr>
      <w:r>
        <w:separator/>
      </w:r>
    </w:p>
  </w:endnote>
  <w:endnote w:type="continuationSeparator" w:id="0">
    <w:p w:rsidR="007041CD" w:rsidRDefault="007041CD" w:rsidP="00F3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CD" w:rsidRDefault="007041CD" w:rsidP="00F36461">
      <w:pPr>
        <w:spacing w:after="0" w:line="240" w:lineRule="auto"/>
      </w:pPr>
      <w:r>
        <w:separator/>
      </w:r>
    </w:p>
  </w:footnote>
  <w:footnote w:type="continuationSeparator" w:id="0">
    <w:p w:rsidR="007041CD" w:rsidRDefault="007041CD" w:rsidP="00F36461">
      <w:pPr>
        <w:spacing w:after="0" w:line="240" w:lineRule="auto"/>
      </w:pPr>
      <w:r>
        <w:continuationSeparator/>
      </w:r>
    </w:p>
  </w:footnote>
  <w:footnote w:id="1">
    <w:p w:rsidR="000B4306" w:rsidRDefault="000B4306" w:rsidP="000B4306">
      <w:pPr>
        <w:pStyle w:val="FootnoteText"/>
      </w:pPr>
    </w:p>
  </w:footnote>
  <w:footnote w:id="2">
    <w:p w:rsidR="000B4306" w:rsidRDefault="000B4306" w:rsidP="000B43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97201"/>
      <w:docPartObj>
        <w:docPartGallery w:val="Page Numbers (Top of Page)"/>
        <w:docPartUnique/>
      </w:docPartObj>
    </w:sdtPr>
    <w:sdtEndPr>
      <w:rPr>
        <w:noProof/>
      </w:rPr>
    </w:sdtEndPr>
    <w:sdtContent>
      <w:p w:rsidR="00727165" w:rsidRDefault="00727165">
        <w:pPr>
          <w:pStyle w:val="Header"/>
          <w:jc w:val="right"/>
        </w:pPr>
        <w:r>
          <w:fldChar w:fldCharType="begin"/>
        </w:r>
        <w:r>
          <w:instrText xml:space="preserve"> PAGE   \* MERGEFORMAT </w:instrText>
        </w:r>
        <w:r>
          <w:fldChar w:fldCharType="separate"/>
        </w:r>
        <w:r w:rsidR="008A34CE">
          <w:rPr>
            <w:noProof/>
          </w:rPr>
          <w:t>11</w:t>
        </w:r>
        <w:r>
          <w:rPr>
            <w:noProof/>
          </w:rPr>
          <w:fldChar w:fldCharType="end"/>
        </w:r>
      </w:p>
    </w:sdtContent>
  </w:sdt>
  <w:p w:rsidR="00F36461" w:rsidRDefault="00F36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537"/>
    <w:multiLevelType w:val="hybridMultilevel"/>
    <w:tmpl w:val="805E1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7728C"/>
    <w:multiLevelType w:val="hybridMultilevel"/>
    <w:tmpl w:val="FAC85B70"/>
    <w:lvl w:ilvl="0" w:tplc="109ED1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ACA"/>
    <w:multiLevelType w:val="hybridMultilevel"/>
    <w:tmpl w:val="AA8E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6373"/>
    <w:multiLevelType w:val="hybridMultilevel"/>
    <w:tmpl w:val="FF1C8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C759A"/>
    <w:multiLevelType w:val="hybridMultilevel"/>
    <w:tmpl w:val="AFE2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A6F95"/>
    <w:multiLevelType w:val="hybridMultilevel"/>
    <w:tmpl w:val="62EE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02AB"/>
    <w:multiLevelType w:val="hybridMultilevel"/>
    <w:tmpl w:val="309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2003"/>
    <w:multiLevelType w:val="hybridMultilevel"/>
    <w:tmpl w:val="7AF8F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E5ECC"/>
    <w:multiLevelType w:val="hybridMultilevel"/>
    <w:tmpl w:val="D1F8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17AA8"/>
    <w:multiLevelType w:val="multilevel"/>
    <w:tmpl w:val="D1CAC9F6"/>
    <w:lvl w:ilvl="0">
      <w:start w:val="1"/>
      <w:numFmt w:val="bullet"/>
      <w:lvlText w:val=""/>
      <w:lvlJc w:val="left"/>
      <w:pPr>
        <w:ind w:left="360" w:hanging="360"/>
      </w:pPr>
      <w:rPr>
        <w:rFonts w:ascii="Wingdings" w:hAnsi="Wingdings" w:hint="default"/>
        <w:color w:val="808080" w:themeColor="background1" w:themeShade="8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636DBA"/>
    <w:multiLevelType w:val="hybridMultilevel"/>
    <w:tmpl w:val="AFA2914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1F427CB"/>
    <w:multiLevelType w:val="hybridMultilevel"/>
    <w:tmpl w:val="93A82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1B4B5D"/>
    <w:multiLevelType w:val="hybridMultilevel"/>
    <w:tmpl w:val="D1DEC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3412B"/>
    <w:multiLevelType w:val="hybridMultilevel"/>
    <w:tmpl w:val="7D5A741C"/>
    <w:lvl w:ilvl="0" w:tplc="041AA4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B90DE2"/>
    <w:multiLevelType w:val="hybridMultilevel"/>
    <w:tmpl w:val="82C41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3"/>
  </w:num>
  <w:num w:numId="5">
    <w:abstractNumId w:val="10"/>
  </w:num>
  <w:num w:numId="6">
    <w:abstractNumId w:val="1"/>
  </w:num>
  <w:num w:numId="7">
    <w:abstractNumId w:val="13"/>
  </w:num>
  <w:num w:numId="8">
    <w:abstractNumId w:val="2"/>
  </w:num>
  <w:num w:numId="9">
    <w:abstractNumId w:val="12"/>
  </w:num>
  <w:num w:numId="10">
    <w:abstractNumId w:val="0"/>
  </w:num>
  <w:num w:numId="11">
    <w:abstractNumId w:val="9"/>
  </w:num>
  <w:num w:numId="12">
    <w:abstractNumId w:val="11"/>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61"/>
    <w:rsid w:val="00005403"/>
    <w:rsid w:val="000158C1"/>
    <w:rsid w:val="00033BA2"/>
    <w:rsid w:val="00050300"/>
    <w:rsid w:val="00050F66"/>
    <w:rsid w:val="000A6A49"/>
    <w:rsid w:val="000B4306"/>
    <w:rsid w:val="000B57B2"/>
    <w:rsid w:val="000C2180"/>
    <w:rsid w:val="000D0343"/>
    <w:rsid w:val="000D3BB0"/>
    <w:rsid w:val="000D60B2"/>
    <w:rsid w:val="000E2A3B"/>
    <w:rsid w:val="00104B68"/>
    <w:rsid w:val="001204F7"/>
    <w:rsid w:val="00131C85"/>
    <w:rsid w:val="00143F93"/>
    <w:rsid w:val="00147C38"/>
    <w:rsid w:val="00160927"/>
    <w:rsid w:val="0016404B"/>
    <w:rsid w:val="001C1D18"/>
    <w:rsid w:val="001F0C59"/>
    <w:rsid w:val="001F59E5"/>
    <w:rsid w:val="002102E2"/>
    <w:rsid w:val="00212C4B"/>
    <w:rsid w:val="002236AB"/>
    <w:rsid w:val="0028537A"/>
    <w:rsid w:val="002F241A"/>
    <w:rsid w:val="002F290C"/>
    <w:rsid w:val="003040AA"/>
    <w:rsid w:val="003366AE"/>
    <w:rsid w:val="0034044C"/>
    <w:rsid w:val="0034369C"/>
    <w:rsid w:val="003540B7"/>
    <w:rsid w:val="00354B6D"/>
    <w:rsid w:val="00357A1E"/>
    <w:rsid w:val="00384479"/>
    <w:rsid w:val="00395372"/>
    <w:rsid w:val="003A6B53"/>
    <w:rsid w:val="003B05C4"/>
    <w:rsid w:val="003C737A"/>
    <w:rsid w:val="003C7E8D"/>
    <w:rsid w:val="003D16B2"/>
    <w:rsid w:val="00406727"/>
    <w:rsid w:val="004107B7"/>
    <w:rsid w:val="00420427"/>
    <w:rsid w:val="00432E7F"/>
    <w:rsid w:val="0045444E"/>
    <w:rsid w:val="0047440A"/>
    <w:rsid w:val="00481D71"/>
    <w:rsid w:val="00492082"/>
    <w:rsid w:val="00496CE6"/>
    <w:rsid w:val="004A607A"/>
    <w:rsid w:val="004C560F"/>
    <w:rsid w:val="004D7AFB"/>
    <w:rsid w:val="004F7FE9"/>
    <w:rsid w:val="00510662"/>
    <w:rsid w:val="00515D87"/>
    <w:rsid w:val="00516AFC"/>
    <w:rsid w:val="005201EF"/>
    <w:rsid w:val="00523D72"/>
    <w:rsid w:val="005302B8"/>
    <w:rsid w:val="005308E7"/>
    <w:rsid w:val="00550927"/>
    <w:rsid w:val="00561E48"/>
    <w:rsid w:val="005629C1"/>
    <w:rsid w:val="00585DEA"/>
    <w:rsid w:val="005B44A3"/>
    <w:rsid w:val="005E7B12"/>
    <w:rsid w:val="005F37EB"/>
    <w:rsid w:val="005F5603"/>
    <w:rsid w:val="00600EE0"/>
    <w:rsid w:val="00631785"/>
    <w:rsid w:val="00654BE8"/>
    <w:rsid w:val="00663835"/>
    <w:rsid w:val="00673228"/>
    <w:rsid w:val="00697F9D"/>
    <w:rsid w:val="006A084B"/>
    <w:rsid w:val="006A3C24"/>
    <w:rsid w:val="006D1E15"/>
    <w:rsid w:val="006E1637"/>
    <w:rsid w:val="006F4E91"/>
    <w:rsid w:val="007041CD"/>
    <w:rsid w:val="0070762C"/>
    <w:rsid w:val="00721799"/>
    <w:rsid w:val="00727165"/>
    <w:rsid w:val="00745D44"/>
    <w:rsid w:val="00751681"/>
    <w:rsid w:val="00763CA6"/>
    <w:rsid w:val="00771C01"/>
    <w:rsid w:val="00773BAC"/>
    <w:rsid w:val="007752D1"/>
    <w:rsid w:val="007B269A"/>
    <w:rsid w:val="007F1411"/>
    <w:rsid w:val="008255E5"/>
    <w:rsid w:val="008272D2"/>
    <w:rsid w:val="008358B6"/>
    <w:rsid w:val="00840CF7"/>
    <w:rsid w:val="0084346B"/>
    <w:rsid w:val="00843CBA"/>
    <w:rsid w:val="008449E4"/>
    <w:rsid w:val="00855147"/>
    <w:rsid w:val="008A34CE"/>
    <w:rsid w:val="008A493B"/>
    <w:rsid w:val="008A71F0"/>
    <w:rsid w:val="008D3027"/>
    <w:rsid w:val="008D3ACA"/>
    <w:rsid w:val="008D6B7A"/>
    <w:rsid w:val="008D7A60"/>
    <w:rsid w:val="008E0798"/>
    <w:rsid w:val="008E1E7A"/>
    <w:rsid w:val="008F2E0A"/>
    <w:rsid w:val="008F48B7"/>
    <w:rsid w:val="0093534A"/>
    <w:rsid w:val="00943F75"/>
    <w:rsid w:val="00953524"/>
    <w:rsid w:val="0095736A"/>
    <w:rsid w:val="00974B13"/>
    <w:rsid w:val="00997796"/>
    <w:rsid w:val="009D2986"/>
    <w:rsid w:val="009E5AFC"/>
    <w:rsid w:val="00A00386"/>
    <w:rsid w:val="00A0486F"/>
    <w:rsid w:val="00A0493E"/>
    <w:rsid w:val="00A22A56"/>
    <w:rsid w:val="00A47F15"/>
    <w:rsid w:val="00A51E48"/>
    <w:rsid w:val="00A61252"/>
    <w:rsid w:val="00A953CD"/>
    <w:rsid w:val="00AA5297"/>
    <w:rsid w:val="00AA68A3"/>
    <w:rsid w:val="00AB3CBA"/>
    <w:rsid w:val="00AF6940"/>
    <w:rsid w:val="00B03961"/>
    <w:rsid w:val="00B31C1C"/>
    <w:rsid w:val="00B54D25"/>
    <w:rsid w:val="00B609AF"/>
    <w:rsid w:val="00B92F9A"/>
    <w:rsid w:val="00BA1F86"/>
    <w:rsid w:val="00BA3A80"/>
    <w:rsid w:val="00BC694D"/>
    <w:rsid w:val="00BD04E7"/>
    <w:rsid w:val="00C03363"/>
    <w:rsid w:val="00C329EF"/>
    <w:rsid w:val="00C33633"/>
    <w:rsid w:val="00C52BA9"/>
    <w:rsid w:val="00C61CBD"/>
    <w:rsid w:val="00C7167F"/>
    <w:rsid w:val="00CB3E8E"/>
    <w:rsid w:val="00CC3C7C"/>
    <w:rsid w:val="00CC6AD7"/>
    <w:rsid w:val="00CD1F04"/>
    <w:rsid w:val="00CD3CAD"/>
    <w:rsid w:val="00CF0896"/>
    <w:rsid w:val="00D35982"/>
    <w:rsid w:val="00D44240"/>
    <w:rsid w:val="00D44A58"/>
    <w:rsid w:val="00D815E3"/>
    <w:rsid w:val="00DB6203"/>
    <w:rsid w:val="00DD6E91"/>
    <w:rsid w:val="00E03CCC"/>
    <w:rsid w:val="00E07B1F"/>
    <w:rsid w:val="00E206D5"/>
    <w:rsid w:val="00E7008F"/>
    <w:rsid w:val="00E96D3B"/>
    <w:rsid w:val="00EA2382"/>
    <w:rsid w:val="00EB6FC5"/>
    <w:rsid w:val="00EC2C94"/>
    <w:rsid w:val="00EC573D"/>
    <w:rsid w:val="00ED5070"/>
    <w:rsid w:val="00EE4361"/>
    <w:rsid w:val="00EF314A"/>
    <w:rsid w:val="00F36461"/>
    <w:rsid w:val="00F54B7F"/>
    <w:rsid w:val="00F8324B"/>
    <w:rsid w:val="00FA6812"/>
    <w:rsid w:val="00FB4A7E"/>
    <w:rsid w:val="00FD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B9F64-3C14-431F-A45D-36DAA2BB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61"/>
  </w:style>
  <w:style w:type="paragraph" w:styleId="Footer">
    <w:name w:val="footer"/>
    <w:basedOn w:val="Normal"/>
    <w:link w:val="FooterChar"/>
    <w:uiPriority w:val="99"/>
    <w:unhideWhenUsed/>
    <w:rsid w:val="00F3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61"/>
  </w:style>
  <w:style w:type="paragraph" w:styleId="ListParagraph">
    <w:name w:val="List Paragraph"/>
    <w:basedOn w:val="Normal"/>
    <w:uiPriority w:val="34"/>
    <w:qFormat/>
    <w:rsid w:val="00673228"/>
    <w:pPr>
      <w:ind w:left="720"/>
      <w:contextualSpacing/>
    </w:pPr>
  </w:style>
  <w:style w:type="table" w:styleId="TableGrid">
    <w:name w:val="Table Grid"/>
    <w:basedOn w:val="TableNormal"/>
    <w:uiPriority w:val="39"/>
    <w:rsid w:val="00EB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65"/>
    <w:rPr>
      <w:rFonts w:ascii="Segoe UI" w:hAnsi="Segoe UI" w:cs="Segoe UI"/>
      <w:sz w:val="18"/>
      <w:szCs w:val="18"/>
    </w:rPr>
  </w:style>
  <w:style w:type="paragraph" w:styleId="FootnoteText">
    <w:name w:val="footnote text"/>
    <w:basedOn w:val="Normal"/>
    <w:link w:val="FootnoteTextChar"/>
    <w:uiPriority w:val="99"/>
    <w:semiHidden/>
    <w:unhideWhenUsed/>
    <w:rsid w:val="000B4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306"/>
    <w:rPr>
      <w:sz w:val="20"/>
      <w:szCs w:val="20"/>
    </w:rPr>
  </w:style>
  <w:style w:type="character" w:styleId="FootnoteReference">
    <w:name w:val="footnote reference"/>
    <w:basedOn w:val="DefaultParagraphFont"/>
    <w:uiPriority w:val="99"/>
    <w:semiHidden/>
    <w:unhideWhenUsed/>
    <w:rsid w:val="000B4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package" Target="embeddings/Microsoft_Excel_Worksheet5.xlsx"/><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customXml" Target="../customXml/item1.xml"/><Relationship Id="rId10" Type="http://schemas.openxmlformats.org/officeDocument/2006/relationships/image" Target="media/image3.emf"/><Relationship Id="rId19" Type="http://schemas.openxmlformats.org/officeDocument/2006/relationships/package" Target="embeddings/Microsoft_Excel_Worksheet6.xlsx"/><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704E0C1F4E244BA81598E19C5B783" ma:contentTypeVersion="0" ma:contentTypeDescription="Create a new document." ma:contentTypeScope="" ma:versionID="3abbf706e97fefead386ef862755050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29E27-A270-4A8C-99F9-CD08CFAFBAAC}"/>
</file>

<file path=customXml/itemProps2.xml><?xml version="1.0" encoding="utf-8"?>
<ds:datastoreItem xmlns:ds="http://schemas.openxmlformats.org/officeDocument/2006/customXml" ds:itemID="{D43806B6-8A8F-4322-9BFD-2C91189C00E1}"/>
</file>

<file path=customXml/itemProps3.xml><?xml version="1.0" encoding="utf-8"?>
<ds:datastoreItem xmlns:ds="http://schemas.openxmlformats.org/officeDocument/2006/customXml" ds:itemID="{865421C7-6712-48C4-92F7-65F0AF76CBC5}"/>
</file>

<file path=docProps/app.xml><?xml version="1.0" encoding="utf-8"?>
<Properties xmlns="http://schemas.openxmlformats.org/officeDocument/2006/extended-properties" xmlns:vt="http://schemas.openxmlformats.org/officeDocument/2006/docPropsVTypes">
  <Template>Normal</Template>
  <TotalTime>2</TotalTime>
  <Pages>11</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Ponencia Vista Pública de Transición</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Ponencia Vista Pública de Transición</dc:title>
  <dc:subject/>
  <dc:creator>Lilliana Vergara Agostini</dc:creator>
  <cp:keywords/>
  <dc:description/>
  <cp:lastModifiedBy>Kiomara Gonzalez</cp:lastModifiedBy>
  <cp:revision>5</cp:revision>
  <cp:lastPrinted>2016-10-04T14:17:00Z</cp:lastPrinted>
  <dcterms:created xsi:type="dcterms:W3CDTF">2016-10-20T12:26:00Z</dcterms:created>
  <dcterms:modified xsi:type="dcterms:W3CDTF">2016-10-20T12:28:00Z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0x010100E68704E0C1F4E244BA81598E19C5B783</vt:lpwstr>
  </property>
</Properties>
</file>